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8"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Times New Roman" w:cs="Times New Roman" w:eastAsia="Times New Roman" w:hAnsi="Times New Roman"/>
          <w:sz w:val="18"/>
          <w:szCs w:val="18"/>
          <w:b w:val="1"/>
          <w:bCs w:val="1"/>
          <w:color w:val="auto"/>
        </w:rPr>
        <w:t>For the quarterly period ended September 30, 2026</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p>
      <w:pPr>
        <w:spacing w:after="0" w:line="14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82-2408531</w:t>
      </w:r>
    </w:p>
    <w:p>
      <w:pPr>
        <w:spacing w:after="0" w:line="72" w:lineRule="exact"/>
        <w:rPr>
          <w:sz w:val="24"/>
          <w:szCs w:val="24"/>
          <w:color w:val="auto"/>
        </w:rPr>
      </w:pPr>
    </w:p>
    <w:p>
      <w:pPr>
        <w:sectPr>
          <w:pgSz w:w="11900" w:h="16838" w:orient="portrait"/>
          <w:cols w:equalWidth="0" w:num="2">
            <w:col w:w="7340" w:space="720"/>
            <w:col w:w="3180"/>
          </w:cols>
          <w:pgMar w:left="320" w:top="1218"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84" w:lineRule="exact"/>
        <w:rPr>
          <w:sz w:val="24"/>
          <w:szCs w:val="24"/>
          <w:color w:val="auto"/>
        </w:rPr>
      </w:pPr>
    </w:p>
    <w:p>
      <w:pPr>
        <w:sectPr>
          <w:pgSz w:w="11900" w:h="16838" w:orient="portrait"/>
          <w:cols w:equalWidth="0" w:num="2">
            <w:col w:w="6680" w:space="720"/>
            <w:col w:w="3840"/>
          </w:cols>
          <w:pgMar w:left="320" w:top="121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Florida 33431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30480</wp:posOffset>
            </wp:positionV>
            <wp:extent cx="2254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79"/>
        </w:trPr>
        <w:tc>
          <w:tcPr>
            <w:tcW w:w="37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bottom w:val="single" w:sz="8" w:color="auto"/>
              <w:right w:val="single" w:sz="8" w:color="auto"/>
            </w:tcBorders>
          </w:tcPr>
          <w:p>
            <w:pPr>
              <w:ind w:left="740"/>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30, 2026, the registrant had 16,051,137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1068070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FOR FORM 10-Q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PART I - FINANCIAL INFORMATION</w:t>
            </w:r>
          </w:p>
        </w:tc>
        <w:tc>
          <w:tcPr>
            <w:tcW w:w="20" w:type="dxa"/>
            <w:vAlign w:val="bottom"/>
            <w:vMerge w:val="restart"/>
          </w:tcPr>
          <w:p>
            <w:pPr>
              <w:spacing w:after="0"/>
              <w:rPr>
                <w:sz w:val="16"/>
                <w:szCs w:val="16"/>
                <w:color w:val="auto"/>
              </w:rPr>
            </w:pPr>
          </w:p>
        </w:tc>
        <w:tc>
          <w:tcPr>
            <w:tcW w:w="7340" w:type="dxa"/>
            <w:vAlign w:val="bottom"/>
            <w:gridSpan w:val="9"/>
            <w:vMerge w:val="restart"/>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3"/>
        </w:trPr>
        <w:tc>
          <w:tcPr>
            <w:tcW w:w="3000" w:type="dxa"/>
            <w:vAlign w:val="bottom"/>
            <w:tcBorders>
              <w:bottom w:val="single" w:sz="8" w:color="0000FF"/>
            </w:tcBorders>
            <w:gridSpan w:val="9"/>
            <w:vMerge w:val="continue"/>
          </w:tcPr>
          <w:p>
            <w:pPr>
              <w:spacing w:after="0"/>
              <w:rPr>
                <w:sz w:val="13"/>
                <w:szCs w:val="13"/>
                <w:color w:val="auto"/>
              </w:rPr>
            </w:pPr>
          </w:p>
        </w:tc>
        <w:tc>
          <w:tcPr>
            <w:tcW w:w="20" w:type="dxa"/>
            <w:vAlign w:val="bottom"/>
            <w:tcBorders>
              <w:bottom w:val="single" w:sz="8" w:color="0000EE"/>
            </w:tcBorders>
            <w:vMerge w:val="continue"/>
          </w:tcPr>
          <w:p>
            <w:pPr>
              <w:spacing w:after="0"/>
              <w:rPr>
                <w:sz w:val="13"/>
                <w:szCs w:val="13"/>
                <w:color w:val="auto"/>
              </w:rPr>
            </w:pPr>
          </w:p>
        </w:tc>
        <w:tc>
          <w:tcPr>
            <w:tcW w:w="7340" w:type="dxa"/>
            <w:vAlign w:val="bottom"/>
            <w:gridSpan w:val="9"/>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2026 and December 31, 2025</w:t>
            </w:r>
          </w:p>
        </w:tc>
        <w:tc>
          <w:tcPr>
            <w:tcW w:w="2760" w:type="dxa"/>
            <w:vAlign w:val="bottom"/>
            <w:gridSpan w:val="4"/>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950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2026 and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2026 and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for the three and nine months ended September 30, 2026</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p>
        </w:tc>
        <w:tc>
          <w:tcPr>
            <w:tcW w:w="950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560" w:type="dxa"/>
            <w:vAlign w:val="bottom"/>
            <w:gridSpan w:val="3"/>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4940" w:type="dxa"/>
            <w:vAlign w:val="bottom"/>
            <w:tcBorders>
              <w:left w:val="single" w:sz="8" w:color="0000FF"/>
            </w:tcBorders>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8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260" w:type="dxa"/>
            <w:vAlign w:val="bottom"/>
          </w:tcPr>
          <w:p>
            <w:pPr>
              <w:spacing w:after="0"/>
              <w:rPr>
                <w:sz w:val="20"/>
                <w:szCs w:val="20"/>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8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63"/>
        </w:trPr>
        <w:tc>
          <w:tcPr>
            <w:tcW w:w="8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0"/>
        </w:trPr>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7020" w:type="dxa"/>
            <w:vAlign w:val="bottom"/>
            <w:tcBorders>
              <w:bottom w:val="single" w:sz="8" w:color="CFF0FC"/>
            </w:tcBorders>
            <w:gridSpan w:val="2"/>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198"/>
        </w:trPr>
        <w:tc>
          <w:tcPr>
            <w:tcW w:w="776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$239 and $231 as of</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20" w:type="dxa"/>
            <w:vAlign w:val="bottom"/>
            <w:shd w:val="clear" w:color="auto" w:fill="CFF0FC"/>
          </w:tcPr>
          <w:p>
            <w:pPr>
              <w:spacing w:after="0"/>
              <w:rPr>
                <w:sz w:val="20"/>
                <w:szCs w:val="20"/>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Pr>
          <w:p>
            <w:pPr>
              <w:spacing w:after="0"/>
              <w:rPr>
                <w:sz w:val="18"/>
                <w:szCs w:val="18"/>
                <w:color w:val="auto"/>
              </w:rPr>
            </w:pPr>
          </w:p>
        </w:tc>
      </w:tr>
      <w:tr>
        <w:trPr>
          <w:trHeight w:val="209"/>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121,647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8"/>
                <w:szCs w:val="18"/>
                <w:color w:val="auto"/>
              </w:rPr>
            </w:pPr>
          </w:p>
        </w:tc>
      </w:tr>
      <w:tr>
        <w:trPr>
          <w:trHeight w:val="250"/>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237,948</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56"/>
        </w:trPr>
        <w:tc>
          <w:tcPr>
            <w:tcW w:w="77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322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8"/>
                <w:szCs w:val="18"/>
                <w:color w:val="auto"/>
              </w:rPr>
            </w:pPr>
          </w:p>
        </w:tc>
      </w:tr>
      <w:tr>
        <w:trPr>
          <w:trHeight w:val="210"/>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76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September 30, 2026 and December 31, 2025</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r>
      <w:tr>
        <w:trPr>
          <w:trHeight w:val="198"/>
        </w:trPr>
        <w:tc>
          <w:tcPr>
            <w:tcW w:w="7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stock—$0.001 par value, 200,000,000 shares authorized, 16,050,406 and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14,151,350 shares issued and outstanding, as of September 30, 2026 and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200,826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88,628</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0"/>
        </w:trPr>
        <w:tc>
          <w:tcPr>
            <w:tcW w:w="77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227,567</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100,926</w:t>
            </w:r>
          </w:p>
        </w:tc>
        <w:tc>
          <w:tcPr>
            <w:tcW w:w="120" w:type="dxa"/>
            <w:vAlign w:val="bottom"/>
            <w:tcBorders>
              <w:top w:val="single" w:sz="8" w:color="CFF0FC"/>
            </w:tcBorders>
          </w:tcPr>
          <w:p>
            <w:pPr>
              <w:spacing w:after="0"/>
              <w:rPr>
                <w:sz w:val="18"/>
                <w:szCs w:val="18"/>
                <w:color w:val="auto"/>
              </w:rPr>
            </w:pPr>
          </w:p>
        </w:tc>
      </w:tr>
      <w:tr>
        <w:trPr>
          <w:trHeight w:val="249"/>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237,948</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-2965450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-2948305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-2965450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-2116455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-2116455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80,299</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66,860</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20,204</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18"/>
                <w:szCs w:val="18"/>
                <w:color w:val="auto"/>
              </w:rPr>
            </w:pPr>
          </w:p>
        </w:tc>
      </w:tr>
      <w:tr>
        <w:trPr>
          <w:trHeight w:val="209"/>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62,995</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4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FF0FC"/>
          </w:tcPr>
          <w:p>
            <w:pPr>
              <w:spacing w:after="0"/>
              <w:rPr>
                <w:sz w:val="20"/>
                <w:szCs w:val="20"/>
                <w:color w:val="auto"/>
              </w:rPr>
            </w:pPr>
          </w:p>
        </w:tc>
      </w:tr>
      <w:tr>
        <w:trPr>
          <w:trHeight w:val="197"/>
        </w:trPr>
        <w:tc>
          <w:tcPr>
            <w:tcW w:w="5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15,342,614</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14,027,994</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14,575,079</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14,014,993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15,754,154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14,618,657</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14,914,635</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14,567,167</w:t>
            </w: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-1662430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-1662430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-1662430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-1379220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-1379220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-1379220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-1096645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-1096645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-1096645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-488315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-471170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-488315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-471170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-488315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-471170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-187960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00" w:type="dxa"/>
            <w:vAlign w:val="bottom"/>
            <w:gridSpan w:val="6"/>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5,445</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loss on investments in U.S. Treasury</w:t>
            </w:r>
          </w:p>
        </w:tc>
        <w:tc>
          <w:tcPr>
            <w:tcW w:w="740" w:type="dxa"/>
            <w:vAlign w:val="bottom"/>
            <w:shd w:val="clear" w:color="auto" w:fill="CFF0FC"/>
          </w:tcPr>
          <w:p>
            <w:pPr>
              <w:spacing w:after="0"/>
              <w:rPr>
                <w:sz w:val="17"/>
                <w:szCs w:val="17"/>
                <w:color w:val="auto"/>
              </w:rPr>
            </w:pPr>
          </w:p>
        </w:tc>
        <w:tc>
          <w:tcPr>
            <w:tcW w:w="5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740" w:type="dxa"/>
            <w:vAlign w:val="bottom"/>
            <w:shd w:val="clear" w:color="auto" w:fill="CFF0FC"/>
          </w:tcPr>
          <w:p>
            <w:pPr>
              <w:spacing w:after="0"/>
              <w:rPr>
                <w:sz w:val="19"/>
                <w:szCs w:val="19"/>
                <w:color w:val="auto"/>
              </w:rPr>
            </w:pPr>
          </w:p>
        </w:tc>
        <w:tc>
          <w:tcPr>
            <w:tcW w:w="58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40" w:type="dxa"/>
            <w:vAlign w:val="bottom"/>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940" w:type="dxa"/>
            <w:vAlign w:val="bottom"/>
            <w:gridSpan w:val="4"/>
            <w:vMerge w:val="restart"/>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9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00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3"/>
                <w:szCs w:val="13"/>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Retained earnings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June 30, 2025</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13,976,841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w:t>
            </w:r>
          </w:p>
        </w:tc>
        <w:tc>
          <w:tcPr>
            <w:tcW w:w="10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90,936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5,256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96,206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Increase in treasury stock resulting</w:t>
            </w: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from shares withheld to cover</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statutory taxes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(2,837)</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(133)</w:t>
            </w: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Common stock repurchased</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(15,437)</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(653)</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Retirement of treasury stock</w:t>
            </w:r>
          </w:p>
        </w:tc>
        <w:tc>
          <w:tcPr>
            <w:tcW w:w="12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(18,274)</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18,274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786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(786)</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4,213</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4,213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September 30, 2025</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13,967,217</w:t>
            </w:r>
          </w:p>
        </w:tc>
        <w:tc>
          <w:tcPr>
            <w:tcW w:w="22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w:t>
            </w:r>
          </w:p>
        </w:tc>
        <w:tc>
          <w:tcPr>
            <w:tcW w:w="10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92,250</w:t>
            </w:r>
          </w:p>
        </w:tc>
        <w:tc>
          <w:tcPr>
            <w:tcW w:w="22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9,469</w:t>
            </w:r>
          </w:p>
        </w:tc>
        <w:tc>
          <w:tcPr>
            <w:tcW w:w="22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101,733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at June 30, 2026</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14,114,395</w:t>
            </w:r>
          </w:p>
        </w:tc>
        <w:tc>
          <w:tcPr>
            <w:tcW w:w="2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89,966</w:t>
            </w:r>
          </w:p>
        </w:tc>
        <w:tc>
          <w:tcPr>
            <w:tcW w:w="22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21,632</w:t>
            </w:r>
          </w:p>
        </w:tc>
        <w:tc>
          <w:tcPr>
            <w:tcW w:w="22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111,612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27,200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Increase in treasury stock resulting</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from shares withheld to cover</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statutory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(7,856)</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(505)</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Retirement of treasury stock</w:t>
            </w:r>
          </w:p>
        </w:tc>
        <w:tc>
          <w:tcPr>
            <w:tcW w:w="12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(7,856)</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7,856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(505)</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 in</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underwritten public offering,</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of issuance costs of $6,295</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1,916,667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2,662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5,445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September 30, 2026</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16,050,406</w:t>
            </w:r>
          </w:p>
        </w:tc>
        <w:tc>
          <w:tcPr>
            <w:tcW w:w="22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2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200,826</w:t>
            </w:r>
          </w:p>
        </w:tc>
        <w:tc>
          <w:tcPr>
            <w:tcW w:w="22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27,077</w:t>
            </w:r>
          </w:p>
        </w:tc>
        <w:tc>
          <w:tcPr>
            <w:tcW w:w="22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(352)</w:t>
            </w:r>
          </w:p>
        </w:tc>
        <w:tc>
          <w:tcPr>
            <w:tcW w:w="2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227,567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00" w:type="dxa"/>
            <w:vAlign w:val="bottom"/>
          </w:tcPr>
          <w:p>
            <w:pPr>
              <w:spacing w:after="0"/>
              <w:rPr>
                <w:sz w:val="22"/>
                <w:szCs w:val="22"/>
                <w:color w:val="auto"/>
              </w:rPr>
            </w:pPr>
          </w:p>
        </w:tc>
        <w:tc>
          <w:tcPr>
            <w:tcW w:w="1940" w:type="dxa"/>
            <w:vAlign w:val="bottom"/>
            <w:gridSpan w:val="4"/>
            <w:vMerge w:val="restart"/>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22"/>
                <w:szCs w:val="22"/>
                <w:color w:val="auto"/>
              </w:rPr>
            </w:pPr>
          </w:p>
        </w:tc>
        <w:tc>
          <w:tcPr>
            <w:tcW w:w="19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9"/>
                <w:szCs w:val="9"/>
                <w:color w:val="auto"/>
              </w:rPr>
            </w:pPr>
          </w:p>
        </w:tc>
        <w:tc>
          <w:tcPr>
            <w:tcW w:w="1120" w:type="dxa"/>
            <w:vAlign w:val="bottom"/>
            <w:gridSpan w:val="2"/>
          </w:tcPr>
          <w:p>
            <w:pPr>
              <w:jc w:val="right"/>
              <w:ind w:right="3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06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00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13,936,329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w:t>
            </w:r>
          </w:p>
        </w:tc>
        <w:tc>
          <w:tcPr>
            <w:tcW w:w="10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87,488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(870)</w:t>
            </w:r>
          </w:p>
        </w:tc>
        <w:tc>
          <w:tcPr>
            <w:tcW w:w="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86,632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66,767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Increase in treasury stock resulting</w:t>
            </w: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from shares withheld to cover</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statutory taxes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(20,442)</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(860)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(860)</w:t>
            </w: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Common stock repurchased</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(15,437)</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(653)</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Retirement of treasury stock</w:t>
            </w:r>
          </w:p>
        </w:tc>
        <w:tc>
          <w:tcPr>
            <w:tcW w:w="12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(35,879)</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35,879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1,513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(1,513)</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10,339</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10,339</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September 30, 2025</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13,967,217</w:t>
            </w:r>
          </w:p>
        </w:tc>
        <w:tc>
          <w:tcPr>
            <w:tcW w:w="22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w:t>
            </w:r>
          </w:p>
        </w:tc>
        <w:tc>
          <w:tcPr>
            <w:tcW w:w="10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92,250</w:t>
            </w:r>
          </w:p>
        </w:tc>
        <w:tc>
          <w:tcPr>
            <w:tcW w:w="22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9,469</w:t>
            </w:r>
          </w:p>
        </w:tc>
        <w:tc>
          <w:tcPr>
            <w:tcW w:w="22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101,733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14,151,350</w:t>
            </w:r>
          </w:p>
        </w:tc>
        <w:tc>
          <w:tcPr>
            <w:tcW w:w="2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88,628</w:t>
            </w:r>
          </w:p>
        </w:tc>
        <w:tc>
          <w:tcPr>
            <w:tcW w:w="22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12,284</w:t>
            </w:r>
          </w:p>
        </w:tc>
        <w:tc>
          <w:tcPr>
            <w:tcW w:w="22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100,926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80,669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Increase in treasury stock resulting</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from shares withheld to cover</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statutory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(23,780)</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(1,219)</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Common stock repurchased</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(74,500)</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(3,122)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(3,122)</w:t>
            </w: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Retirement of treasury stock</w:t>
            </w:r>
          </w:p>
        </w:tc>
        <w:tc>
          <w:tcPr>
            <w:tcW w:w="12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(98,280)</w:t>
            </w: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98,280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(4,341)</w:t>
            </w: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 in</w:t>
            </w: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underwritten public offering,</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net of issuance costs of $6,295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1,916,667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108,703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108,705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14,793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14,793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September 30, 2026</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16,050,406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200,826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27,077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(352)</w:t>
            </w:r>
          </w:p>
        </w:tc>
        <w:tc>
          <w:tcPr>
            <w:tcW w:w="26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227,567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-4705350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-4705350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-4705350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-4705350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-4705350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-4705350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-4705350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-4705350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-3231515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-3231515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-3231515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-3231515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-3231515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-3231515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-3231515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-3231515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-1713865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-1713865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-1713865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-1713865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-1713865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-1713865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-1713865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discount on investments in U.S. Treasury securities, net</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(3,720)</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(2,766)</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(486)</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(1,757)</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r>
      <w:tr>
        <w:trPr>
          <w:trHeight w:val="210"/>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29,893</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investments in U.S. Treasury securities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(98,938)</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(10,555)</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(7,679)</w:t>
            </w:r>
          </w:p>
        </w:tc>
      </w:tr>
      <w:tr>
        <w:trPr>
          <w:trHeight w:val="20"/>
        </w:trPr>
        <w:tc>
          <w:tcPr>
            <w:tcW w:w="68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(109,756)</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(8,118)</w:t>
            </w: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(1,219)</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(4,181)</w:t>
            </w:r>
          </w:p>
        </w:tc>
      </w:tr>
      <w:tr>
        <w:trPr>
          <w:trHeight w:val="20"/>
        </w:trPr>
        <w:tc>
          <w:tcPr>
            <w:tcW w:w="68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(5,694)</w:t>
            </w: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24,501</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20" w:type="dxa"/>
            <w:vAlign w:val="bottom"/>
          </w:tcPr>
          <w:p>
            <w:pPr>
              <w:spacing w:after="0"/>
              <w:rPr>
                <w:sz w:val="18"/>
                <w:szCs w:val="18"/>
                <w:color w:val="auto"/>
              </w:rPr>
            </w:pPr>
          </w:p>
        </w:tc>
      </w:tr>
      <w:tr>
        <w:trPr>
          <w:trHeight w:val="24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120" w:type="dxa"/>
            <w:vAlign w:val="bottom"/>
            <w:shd w:val="clear" w:color="auto" w:fill="CFF0FC"/>
          </w:tcPr>
          <w:p>
            <w:pPr>
              <w:spacing w:after="0"/>
              <w:rPr>
                <w:sz w:val="21"/>
                <w:szCs w:val="21"/>
                <w:color w:val="auto"/>
              </w:rPr>
            </w:pPr>
          </w:p>
        </w:tc>
      </w:tr>
      <w:tr>
        <w:trPr>
          <w:trHeight w:val="197"/>
        </w:trPr>
        <w:tc>
          <w:tcPr>
            <w:tcW w:w="6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9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of operating lease liabilities</w:t>
            </w: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-2819400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-848360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-831215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-848360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-831215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2026.</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2025 filed with the SEC on March 4, 2026 (the “2025 Form 10-K”).</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included herein was derived from the audited financial statements as of that date included in the 2025 Form 10-K, but does not include all disclosures required by US GAAP.</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Except for the accounting policy for investments in available-for-sale debt securities adopted during the three months ended September 30, 2026, which is described in Note 3, "Investments," there have been no material changes to the Company’s significant accounting policies as described in Note 2 to the consolidated financial statements included in the 2025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0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the Company and its subsidiaries. All significant intercompany transactions and balances have been eliminated in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Recently issued accounting standards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In November 2024, the Financial Accounting Standards Board (the “FASB”) issued Accounting Standards Update (“ASU”) No. 2024-03, "</w:t>
      </w:r>
      <w:r>
        <w:rPr>
          <w:rFonts w:ascii="Times New Roman" w:cs="Times New Roman" w:eastAsia="Times New Roman" w:hAnsi="Times New Roman"/>
          <w:sz w:val="18"/>
          <w:szCs w:val="18"/>
          <w:i w:val="1"/>
          <w:iCs w:val="1"/>
          <w:color w:val="231F20"/>
        </w:rPr>
        <w:t>Income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231F20"/>
        </w:rPr>
        <w:t>which requires disclosure within the notes to financial statements of specific information about certain costs and expenses including more detailed disclosures of certain categories of expenses such as employee compensation, depreciation, and intangible asset amortization that are components of existing expense captions presented on the face of the income statement. The update is effective for annual periods for fiscal years beginning after December 15, 2026 and interim periods beginning after December 15, 2027 on a prospective or retrospective basis. Early adoption is permitted. The Company is currently evaluating the impact this ASU may have on its condensed consolidated financial statements.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 xml:space="preserve">In July 2025, the FASB issued ASU No. 2025-05, </w:t>
      </w:r>
      <w:r>
        <w:rPr>
          <w:rFonts w:ascii="Times New Roman" w:cs="Times New Roman" w:eastAsia="Times New Roman" w:hAnsi="Times New Roman"/>
          <w:sz w:val="18"/>
          <w:szCs w:val="18"/>
          <w:i w:val="1"/>
          <w:iCs w:val="1"/>
          <w:color w:val="231F20"/>
        </w:rPr>
        <w:t>"Financial Instruments—Credit Losses (Topic 326): Measurement of Credit Losses for Accounts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Receivable and Contract Assets." </w:t>
      </w:r>
      <w:r>
        <w:rPr>
          <w:rFonts w:ascii="Times New Roman" w:cs="Times New Roman" w:eastAsia="Times New Roman" w:hAnsi="Times New Roman"/>
          <w:sz w:val="18"/>
          <w:szCs w:val="18"/>
          <w:color w:val="231F20"/>
        </w:rPr>
        <w:t>The ASU provides a practical expedient permitting an entity to assume that conditions at the balance sheet date remain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unchanged over the life of the asset when estimating expected credit losses for current accounts receivable and current contract assets arising from transactions accounted for under ASC 606. The Company adopted this ASU and elected the practical expedient permitted under this ASU on a prospective basis effective January 1, 2026. The adoption did not have a material impact on the Company's condensed consolidated financial statements.</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 w:name="page9"/>
    <w:bookmarkEnd w:id="8"/>
    <w:p>
      <w:pPr>
        <w:ind w:right="60"/>
        <w:spacing w:after="0" w:line="254" w:lineRule="auto"/>
        <w:rPr>
          <w:sz w:val="20"/>
          <w:szCs w:val="20"/>
          <w:color w:val="auto"/>
        </w:rPr>
      </w:pPr>
      <w:r>
        <w:rPr>
          <w:rFonts w:ascii="Times New Roman" w:cs="Times New Roman" w:eastAsia="Times New Roman" w:hAnsi="Times New Roman"/>
          <w:sz w:val="18"/>
          <w:szCs w:val="18"/>
          <w:color w:val="231F20"/>
        </w:rPr>
        <w:t xml:space="preserve">In September 2025, the FASB issued ASU No. 2025-06, </w:t>
      </w:r>
      <w:r>
        <w:rPr>
          <w:rFonts w:ascii="Times New Roman" w:cs="Times New Roman" w:eastAsia="Times New Roman" w:hAnsi="Times New Roman"/>
          <w:sz w:val="18"/>
          <w:szCs w:val="18"/>
          <w:i w:val="1"/>
          <w:iCs w:val="1"/>
          <w:color w:val="231F20"/>
        </w:rPr>
        <w:t>"Intangibles—Goodwill and Other—Internal-Use Software (Subtopic 350-40): Targeted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Improvements to the Accounting for Internal-Use Software." </w:t>
      </w:r>
      <w:r>
        <w:rPr>
          <w:rFonts w:ascii="Times New Roman" w:cs="Times New Roman" w:eastAsia="Times New Roman" w:hAnsi="Times New Roman"/>
          <w:sz w:val="18"/>
          <w:szCs w:val="18"/>
          <w:color w:val="231F20"/>
        </w:rPr>
        <w:t>This ASU removes all references to prescriptive and sequential software development stages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(referred to as “project stages”) and instead requires an entity to start capitalizing software costs when management has authorized and committed to funding the software project and it is probable that the project will be completed and the software will be used to perform the function intended. Additional updates include changes to accounting for website development costs and certain disclosure requirements. This ASU will be effective for annual reporting periods beginning after December 15, 2027, and interim reporting periods within those annual reporting periods. Early adoption is permitted as of the beginning of an annual reporting period. This ASU permits an entity to apply the new guidance using either a prospective transition approach, a modified transition approach that is based on the status of the project and whether software costs were capitalized before the date of adoption, or a retrospective transition approach. The Company is currently evaluating the impact this ASU may have on its condensed consolidated financial statements.</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31F20"/>
        </w:rPr>
        <w:t xml:space="preserve">In December 2025, the FASB issued ASU No. 2025-11, </w:t>
      </w:r>
      <w:r>
        <w:rPr>
          <w:rFonts w:ascii="Times New Roman" w:cs="Times New Roman" w:eastAsia="Times New Roman" w:hAnsi="Times New Roman"/>
          <w:sz w:val="18"/>
          <w:szCs w:val="18"/>
          <w:i w:val="1"/>
          <w:iCs w:val="1"/>
          <w:color w:val="231F20"/>
        </w:rPr>
        <w:t>"Interim Reporting (Topic 270): Narrow-Scope Improvements."</w:t>
      </w:r>
      <w:r>
        <w:rPr>
          <w:rFonts w:ascii="Times New Roman" w:cs="Times New Roman" w:eastAsia="Times New Roman" w:hAnsi="Times New Roman"/>
          <w:sz w:val="18"/>
          <w:szCs w:val="18"/>
          <w:color w:val="231F20"/>
        </w:rPr>
        <w:t xml:space="preserve">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using either a prospective or a retrospective approach. Early adoption is permitted. The Company is currently evaluating the impact this ASU may have on its condensed consolidated financial statements.</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231F20"/>
        </w:rPr>
        <w:t xml:space="preserve">In December 2025, the FASB issued ASU No. 2025-12, </w:t>
      </w:r>
      <w:r>
        <w:rPr>
          <w:rFonts w:ascii="Times New Roman" w:cs="Times New Roman" w:eastAsia="Times New Roman" w:hAnsi="Times New Roman"/>
          <w:sz w:val="18"/>
          <w:szCs w:val="18"/>
          <w:i w:val="1"/>
          <w:iCs w:val="1"/>
          <w:color w:val="231F20"/>
        </w:rPr>
        <w:t>"Codification Improvements."</w:t>
      </w:r>
      <w:r>
        <w:rPr>
          <w:rFonts w:ascii="Times New Roman" w:cs="Times New Roman" w:eastAsia="Times New Roman" w:hAnsi="Times New Roman"/>
          <w:sz w:val="18"/>
          <w:szCs w:val="18"/>
          <w:color w:val="231F20"/>
        </w:rPr>
        <w:t xml:space="preserve"> The ASU clarifies, corrects and makes minor improvements to various provisions of the Accounting Standards Codification. Among other amendments, the ASU clarifies that, upon the formal or constructive retirement of treasury stock, the excess of the repurchase price over par value may be recognized entirely as a deduction from additional paid-in capital, provided that additional paid-in capital does not become negative. The amendments are effective for annual reporting periods beginning after December 15, 2026, and interim periods within those annual reporting periods. Early adoption is permitted. The Company does not expect the adoption of this ASU to have a material effect on its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vested, or converted into common stock and is calculated using the treasury stock method and contingently issuable share guidance, as applicable.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20" w:type="dxa"/>
            <w:vAlign w:val="bottom"/>
          </w:tcPr>
          <w:p>
            <w:pPr>
              <w:spacing w:after="0"/>
              <w:rPr>
                <w:sz w:val="15"/>
                <w:szCs w:val="15"/>
                <w:color w:val="auto"/>
              </w:rPr>
            </w:pPr>
          </w:p>
        </w:tc>
        <w:tc>
          <w:tcPr>
            <w:tcW w:w="248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15,342,614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14,027,994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14,575,079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14,014,993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15,754,154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14,618,657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14,914,635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4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8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2026 and 2025, diluted weighted average shares outstanding reflect the dilutive effect of certain unvested restricted stock units ("RSUs").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began investing in U.S. Treasury securities with original maturities at the date of purchase of greater than three months. The Company classifies these debt securities as available-for-sale, as they may be sold prior to maturity. Available-for-sale investments are recorded at fair value, with unrealized gains and losses, net of tax, reported in accumulated other comprehensive income (loss) until realized. Investments with remaining maturities of one year or less are classified as short-term investments, and those with remaining maturities of more than one year as long-term investments. Premiums and discounts are amortized or accreted to interest income over the life of the security using the effective interest method. Realized gains and losses, if any, are determined using the specific-identification method.</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securities in an unrealized loss position, the Company assesses whether it intends to sell, or will more likely than not be required to sell, the security before recovery of its amortized cost basis, and whether any portion of the decline in fair value is due to credit losses. No allowance for credit losses has been recorded. The Company excludes accrued interest receivable from both the fair value and the amortized cost basis of its available-for-sale investments for purposes of identifying and measuring impairment, and presents accrued interest receivable within prepaid expenses and other current assets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investments as of September 30,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4"/>
                <w:szCs w:val="14"/>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60" w:type="dxa"/>
            <w:vAlign w:val="bottom"/>
          </w:tcPr>
          <w:p>
            <w:pPr>
              <w:spacing w:after="0"/>
              <w:rPr>
                <w:sz w:val="14"/>
                <w:szCs w:val="14"/>
                <w:color w:val="auto"/>
              </w:rPr>
            </w:pPr>
          </w:p>
        </w:tc>
        <w:tc>
          <w:tcPr>
            <w:tcW w:w="118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36,367</w:t>
            </w:r>
          </w:p>
        </w:tc>
        <w:tc>
          <w:tcPr>
            <w:tcW w:w="1440" w:type="dxa"/>
            <w:vAlign w:val="bottom"/>
            <w:gridSpan w:val="2"/>
          </w:tcPr>
          <w:p>
            <w:pPr>
              <w:jc w:val="right"/>
              <w:ind w:right="100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61,715</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2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98,082</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00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97,606</w:t>
            </w:r>
          </w:p>
        </w:tc>
        <w:tc>
          <w:tcPr>
            <w:tcW w:w="12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hold any such investments as of December 31, 2025.</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gross unrealized losses on investments in U.S. Treasury securities of $476 and a related income tax benefit of $124, resulting in other comprehensive loss of $352. See Note 8, "Shareholders' equity."</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September 30, 2026, all of the Company’s available-for-sale investments had been in a continuous unrealized loss position for less than 12 months. The unrealized losses are attributable to changes in market interest rates subsequent to purchase and not to credit quality. The Company does not intend to sell these securities, and it is not more likely than not that it will be required to sell them before recovery of their amortized cost basis, which may be at maturity. Accordingly, no allowance for credit losses was recognized.</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no sales of available-for-sale investments, and therefore no realized gains or losses, during the three and nine months ended September 30, 2026. Accrued interest receivable on investments in U.S. Treasury securities of $877 as of September 30, 2026 was included in prepaid expenses and other current assets on the condensed consolidated balance sheets.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investments consist of U.S. Treasury securities, and its cash equivalents include government money market funds. Management believes these investments do not expose the Company to significant concentrations of credit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0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at fair value on a recurring basis. Fair value is the price that would be received to sell an asset or paid to transfer a liability in an orderly transaction between market participants at the measurement date. The fair value hierarchy prioritizes the inputs used to measure fair value into three levels:</w:t>
      </w:r>
    </w:p>
    <w:p>
      <w:pPr>
        <w:spacing w:after="0" w:line="95" w:lineRule="exact"/>
        <w:rPr>
          <w:sz w:val="20"/>
          <w:szCs w:val="20"/>
          <w:color w:val="auto"/>
        </w:rPr>
      </w:pPr>
    </w:p>
    <w:p>
      <w:pPr>
        <w:jc w:val="both"/>
        <w:ind w:left="380" w:right="6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 Active markets are considered to be those in which transactions for the assets or liabilities occur with sufficient frequency and volume to provide pricing information on an ongoing basis.</w:t>
      </w:r>
    </w:p>
    <w:p>
      <w:pPr>
        <w:spacing w:after="0" w:line="53"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that are either directly or indirectly observable. This category includes quoted prices for similar assets or liabilities in active markets and quoted prices for identical or similar assets or liabilities in inactive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1420" w:firstLine="8"/>
        <w:spacing w:after="0" w:line="497" w:lineRule="auto"/>
        <w:tabs>
          <w:tab w:leader="none" w:pos="3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requiring an entity to develop its own assumptions. The following table presents the Company’s financial assets measured at fair value on a recurring basis as of September 30, 2026:</w:t>
      </w: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50,706</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50,706</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20" w:type="dxa"/>
            <w:vAlign w:val="bottom"/>
          </w:tcPr>
          <w:p>
            <w:pPr>
              <w:spacing w:after="0"/>
              <w:rPr>
                <w:sz w:val="18"/>
                <w:szCs w:val="18"/>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97,606</w:t>
            </w:r>
          </w:p>
        </w:tc>
        <w:tc>
          <w:tcPr>
            <w:tcW w:w="13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148,312</w:t>
            </w:r>
          </w:p>
        </w:tc>
        <w:tc>
          <w:tcPr>
            <w:tcW w:w="12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financial assets measured at fair value on a recurring basis consisted of money market funds of $39,290, classified within Level 1.</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money market funds and available-for-sale investments in U.S. Treasury securities are measured at fair value on a recurring basis. Money market funds are classified within Level 1. U.S. Treasury securities are classified within Level 2 because they are valued using prices from a third-party pricing service based on observable market inputs. The carrying amounts of the Company’s cash deposits, receivables, accrued interest receivable and payables approximate their fair values because of the short-term nature of these instruments. The fair value of the noncurrent portion of unbilled accounts receivable included in other noncurrent assets approximates its carrying amount.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0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5-10 years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(56,784)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40,374</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85,843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(48,704)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(57,088)</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(48,861)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gross carrying amount of software developed for internal use includes capitalized costs related to the design, development, and testing of internal-use software. These costs primarily consist of eligible personnel-related expenses, share-based compensation, and travel expenses incurred by relevant employees, and other directly attributable costs incurred during the application development stage. The gross carrying amount of acquired intangible assets reflects the acquisition cost of certain data assets for which the Company has obtained perpetual usage rights.</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Amortization expenses of $2,765 and $2,651 for the three months ended September 30, 2026 and 2025, respectively, and $8,227 and $7,746 for the nine months ended September 30, 2026 and 2025, respectively, were included in depreciation and amortization expense. As of September 30, 2026, intangible assets of $9,017, included in the gross carrying amounts of intangible assets, have not yet commenced amortization, as they are not ready for their intended use.</w:t>
      </w:r>
    </w:p>
    <w:p>
      <w:pPr>
        <w:spacing w:after="0" w:line="15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capitalized costs of intangible assets of $4,642 and $3,723 during the three months ended September 30, 2026 and 2025, respectively, and $12,036 and $10,498 during the nine months ended September 30, 2026 and 2025, respectively.</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September 30, 2026, estimated amortization expense related to the Company’s intangible assets for the remainder of 2026 through 2031 and thereafter is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2,837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11,352</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9,302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7,340</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5,296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Pr>
          <w:p>
            <w:pPr>
              <w:spacing w:after="0"/>
              <w:rPr>
                <w:sz w:val="18"/>
                <w:szCs w:val="18"/>
                <w:color w:val="auto"/>
              </w:rPr>
            </w:pPr>
          </w:p>
        </w:tc>
      </w:tr>
      <w:tr>
        <w:trPr>
          <w:trHeight w:val="249"/>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Permitted under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contract-by-contract basis.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permitted under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September 30, 2026, the current and noncurrent portions of unbilled accounts receivable of $1,112 and $589, respectively, were included within accounts receivable and other noncurrent assets, respectively, on the condensed consolidated balance sheets. As of December 31, 2025, the current and noncurrent portions of unbilled accounts receivable of $1,137 and $880, respectively, were included within accounts receivable and other noncurrent assets, respectively, on the condensed consolidated balance sheets. The Company's revenue arrangements do not contain significant financing components.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and 2025, 78% and 75% of total revenue was attributable to customers with pricing contracts, respectively, versus 22% and 25% attributable to transactional customers, respectively. For the nine months ended September 30, 2026 and 2025, 77% and 75% of total revenue was attributable to customers with pricing contracts, respectively, versus 23% and 25% attributable to transactional customers, respectively. Pricing contracts are generally annual contracts or longer, with auto renewal.</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before the Company transfers services to the customer, those amounts are classified as deferred revenue. As of September 30, 2026 and December 31, 2025, the balance of deferred revenue was $1,634 and $1,028, respectively, all of which is expected to be recognized as revenue in the next 12 months. In relation to the deferred revenue balance as of December 31, 2025, $182 and $909 were recognized as revenue during the three and nine months ended September 30, 2026, respectively.</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September 30, 2026, $23,904 of revenue is expected to be recognized in the future for performance obligations that are unsatisfied or partially unsatisfied, related to pricing contracts that have a term of more than 12 months, of which, $3,779 of revenue will be recognized in the remainder of 2026, $12,147 in 2027, $5,337 in 2028, $1,878 in 2029, $464 in 2030, and $299 in 2031 and thereafter.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The Company concluded that, due to its established historical cumulative positive income before income taxes plus permanent differences for recent years, projections of future taxable income, and the reversal of taxable temporary differences, the realization of deferred tax assets as of September 30, 2026 was more likely than not. As of September 30, 2026, deferred tax assets included $124 related to unrealized losses on available-for-sale investments in U.S. Treasury securities. The related income tax benefit was recognized in other comprehensive loss.</w:t>
      </w:r>
    </w:p>
    <w:p>
      <w:pPr>
        <w:spacing w:after="0" w:line="1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20% and 15% for the three months ended September 30, 2026 and 2025, respectively, and 23% and 18% for the nine months ended September 30, 2026 and 2025, respectively, differing from the U.S. federal statutory rate of 21%.</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the effective tax rate was lower than the statutory rate primarily due to the benefit of research and development tax credits and excess tax benefits from share-based compensation, partially offset by state income taxes and nondeductible executive compensation. For the nine months ended September 30, 2026, the effective tax rate was higher than the statutory rate primarily due to state income taxes and nondeductible executive compensation, partially offset by the benefit of research and development tax credits and excess tax benefits from share-based compensation.</w:t>
      </w:r>
    </w:p>
    <w:p>
      <w:pPr>
        <w:spacing w:after="0" w:line="1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effective tax rates were lower than the statutory rate primarily due to the benefit of research and development tax credits and excess tax benefits from share-based compensation, partially offset by state income taxes and nondeductible executive compensation.</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material unrecognized tax benefits as of September 30, 2026 and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treasury stock</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number of issued shares of common stock was 16,050,406 and 14,151,350, respectively. The Company held no shares of treasury stock as of either date. The changes in the number of issued shares of common stock and treasury stock were due to the following factors:</w:t>
      </w:r>
    </w:p>
    <w:p>
      <w:pPr>
        <w:spacing w:after="0" w:line="135" w:lineRule="exact"/>
        <w:rPr>
          <w:sz w:val="20"/>
          <w:szCs w:val="20"/>
          <w:color w:val="auto"/>
        </w:rPr>
      </w:pPr>
    </w:p>
    <w:p>
      <w:pPr>
        <w:ind w:left="380" w:right="8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2026, an aggregate of 80,669 shares of common stock were issued as a result of the vesting of RSUs, of which 23,780 shares of common stock were withheld to pay withholding taxes upon such vesting, which were reflected in treasury stock, with a cost of $1,219. All 23,780 shares of treasury stock were retired during the nine months ended September 30, 2026.</w:t>
      </w:r>
    </w:p>
    <w:p>
      <w:pPr>
        <w:spacing w:after="0" w:line="135" w:lineRule="exact"/>
        <w:rPr>
          <w:rFonts w:ascii="Times New Roman" w:cs="Times New Roman" w:eastAsia="Times New Roman" w:hAnsi="Times New Roman"/>
          <w:sz w:val="18"/>
          <w:szCs w:val="18"/>
          <w:color w:val="auto"/>
        </w:rPr>
      </w:pPr>
    </w:p>
    <w:p>
      <w:pPr>
        <w:ind w:left="380" w:right="12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2026, the Company repurchased 74,500 shares of common stock under the Stock Repurchase Program, as defined below, which were reflected in treasury stock, with a cost of $3,122. All 74,500 shares of treasury stock were retired during the nine months ended September 30, 2026.</w:t>
      </w:r>
    </w:p>
    <w:p>
      <w:pPr>
        <w:spacing w:after="0" w:line="148" w:lineRule="exact"/>
        <w:rPr>
          <w:rFonts w:ascii="Times New Roman" w:cs="Times New Roman" w:eastAsia="Times New Roman" w:hAnsi="Times New Roman"/>
          <w:sz w:val="18"/>
          <w:szCs w:val="18"/>
          <w:color w:val="auto"/>
        </w:rPr>
      </w:pPr>
    </w:p>
    <w:p>
      <w:pPr>
        <w:ind w:left="380" w:right="4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7, 2026, the Company closed an underwritten public offering of 1,916,667 shares of common stock at a public offering price of $60.00 per share, which included the exercise in full by the underwriters of their option to purchase 250,000 additional shares. The gross proceeds were $115,000, and the net proceeds were $108,705, after deducting underwriting discounts and commissions of $5,750 and offering expenses of $545.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May 2, 2022, the Company's Board of Directors authorized a stock repurchase program to repurchase the Company's common stock from time to time through open market purchases, privately negotiated transactions or other means, including pursuant to Rule 10b5-1 trading plans, which was subsequently amended on each of December 19, 2023, March 28, 2024, and November 3, 2025, bringing the total authorization to $30.0 million (the "Stock Repurchase Program"). The Stock Repurchase Program does not obligate the Company to repurchase any shares and may be modified, suspended, or terminated at any time at the discretion of the Board of Directors. During the three months ended September 30, 2026, the Company did not repurchase any common stock pursuant to the Stock Repurchase Program. As of September 30, 2026, $15.5 million remained available for future repurchases under the Stock Repurchase Program.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2026, accumulated other comprehensive loss was $352. The Company had no accumulated other comprehensive income or loss as of December 31, 2025.</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recorded other comprehensive loss of $352, consisting of unrealized losses on investments in U.S. Treasury securities of $476, net of a tax benefit of $124. There were no reclassifications out of accumulated other comprehensive loss during the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Red Violet, Inc. 2018 Stock Incentive Plan, as amended and restated (the “2018 Plan”), 7,500,000 shares of the Company’s common stock are authorized for issuance. The current amended and restated form of the 2018 Plan was approved by the Company’s stockholders on June 10, 2025 and, among other things, increased the number of shares authorized for issuance from 6,500,000 shares to 7,500,000 shares.</w:t>
      </w:r>
    </w:p>
    <w:p>
      <w:pPr>
        <w:spacing w:after="0" w:line="13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primary purpose of the 2018 Plan is to attract, retain, reward and motivate certain individuals by providing them with an opportunity to acquire or increase a proprietary interest in the Company and to incentivize them to contribute to the growth and success of the Company, so as to strengthen the mutuality of the interests between such individuals and the stockholders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there were 1,583,744 shares of common stock available for future issuance under the 2018 Plan.</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date, all share-based awards granted under the 2018 Plan have been in the form of RSUs. RSUs granted under the 2018 Plan vest upon the satisfaction of either service-based vesting conditions or both service-based and performance-based vesting conditions.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Service-based vesting conditions are generally satisfied over periods ranging from one to four years with annual vesting. Unvested activity related to RSUs subject solely to service-based vesting conditions for the nine months ended September 30, 2026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7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3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654,227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(42,521)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(18,148)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(23,233)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10"/>
        </w:trPr>
        <w:tc>
          <w:tcPr>
            <w:tcW w:w="7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as of September 30, 2026</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631,466</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380" w:right="40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2026, the Company granted an aggregate of 61,141 RSUs to certain employees and directors, and a consultant, at grant date fair values ranging from $42.39 to $73.16 per share, with vesting periods ranging generally from one to four years.</w:t>
      </w:r>
    </w:p>
    <w:p>
      <w:pPr>
        <w:spacing w:after="0" w:line="134"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as treasury stock represents shares withheld to pay statutory taxes upon the vesting of RSUs. Refer to Note 8, "Shareholders' equity," for details.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2026, unrecognized share-based compensation expense associated with the granted RSUs subject solely to service-based vesting conditions amounted to $14,264, which is expected to be recognized over a remaining weighted average period of 2.0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20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to RSUs subject solely to service-based vesting conditions as described above, all RSUs granted by the Company that are subject to performance-based vesting conditions also carry service-based vesting conditions. Unvested activity related to RSUs subject to both service-based and performance-based vesting conditions for the nine months ended September 30, 2026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1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4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862,690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(14,368)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Withheld as treasury stock</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2026</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957,690</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March 18, 2024, the Company granted 130,000 RSUs to one non-executive employee, subject to both service-based and performance-based vesting conditions, with a grant-date fair value of $18.30 per share. The RSUs vest upon the achievement of specified revenue targets for a portion of the Company's business on or prior to December 31, 2030 (the "2024 Performance Criteria"). As of December 31, 2025, 15,000 RSUs had vested, and achievement of the applicable performance conditions was considered probable for 45,000 of the 115,000 unvested RSUs reflected in "Unvested as of December 31, 2025" in the table above. During the nine months ended September 30, 2026, (i) 20,000 of these RSUs vested, of which 14,368 shares were delivered and 5,632 shares were withheld to cover taxes, and (ii) the Company determined that achievement of the performance conditions applicable to an additional 35,000 RSUs had become probable. Accordingly, as of September 30, 2026, 60,000 RSUs were considered probable of achievement but remained unvested. No share-based compensation expense has been recognized for the remaining 35,000 unvested RSUs because achievement of the applicable performance conditions was not considered probable as of September 30, 2026.</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January 9, 2026, the Company granted an aggregate of 832,690 RSUs to certain key executive officers under the 2018 Plan, subject to both service-based and performance-based vesting conditions, with a grant-date fair value of $52.77 per share. The awards vest upon achievement of specified revenue and adjusted EBITDA margin targets over a trailing twelve-month period on or prior to March 31, 2030 (the "2026 Performance Criteria"). Each recipient received three awards of increasing size tied to progressively higher revenue thresholds, subject to a consistent adjusted EBITDA margin requirement. In the event of a change of control, portions of the awards may vest based on enterprise value at the time of the transaction. Compensation expense for these awards will be recognized if and when the performance conditions are determined to be probable of achievement. No share-based compensation expense related to these awards has been recognized because, as of September 30, 2026, achievement of the 2026 Performance Criteria was not considered probable.</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7, 2026, the Company granted 30,000 RSUs to one non-executive employee, subject to both service-based and performance-based vesting conditions, with a grant-date fair value of $37.23 per share. The award vests in increments upon the achievement of specified qualifying acquisitions on or prior to March 2, 2029 (the "2026 Acquisition Performance Criteria"). No share-based compensation expense related to this award has been recognized because, as of September 30, 2026, achievement of the 2026 Acquisition Performance Criteria was not considered probable.</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number of unvested RSUs subject to both service-based and performance-based vesting conditions that were considered probable of achievement was 60,000 and 45,000, respectively.</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September 30, 2026, the unrecognized share-based compensation expense associated with the granted RSUs subject to both service-based and performance-based vesting conditions amounted to $46,142. For awards probable of achievement, the unrecognized share-based compensation expense amounted to $444, which is expected to be recognized over a remaining weighted average period of 2.5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Summary of share-based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condensed consolidated financial statements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256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6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-453390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-453390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-453390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non-cancellable operating lease agreement as amended and effective in January 2017, and the Company entered into a further amendment on September 20, 2023 to exercise the extension option for an additional 60 months through June 30, 2029, with an option to further extend for an additional 60 months. The Company also leased an additional office space of 6,003 rentable square feet for its Seattle office in accordance with a non-cancellable operating lease agreement that expired in March 2025. The extension options of such agreements were not included in the determination of the lease terms. On December 20, 2024, the Company entered into a non-cancellable 80-month operating lease agreement for its new Seattle office space of 6,709 rentable square feet, with the lease commencement date on May 1, 2025 (the "New Seattle Lease").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a summary of the Company’s lease information is shown below:</w:t>
      </w:r>
    </w:p>
    <w:p>
      <w:pPr>
        <w:sectPr>
          <w:pgSz w:w="11900" w:h="16838" w:orient="portrait"/>
          <w:cols w:equalWidth="0" w:num="1">
            <w:col w:w="11240"/>
          </w:cols>
          <w:pgMar w:left="320" w:top="1159" w:right="339" w:bottom="1440" w:gutter="0" w:footer="0" w:header="0"/>
        </w:sect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operating leases</w:t>
      </w:r>
    </w:p>
    <w:p>
      <w:pPr>
        <w:spacing w:after="0" w:line="9" w:lineRule="exact"/>
        <w:rPr>
          <w:sz w:val="20"/>
          <w:szCs w:val="20"/>
          <w:color w:val="auto"/>
        </w:rPr>
      </w:pPr>
    </w:p>
    <w:p>
      <w:pPr>
        <w:ind w:left="100" w:right="500" w:hanging="89"/>
        <w:spacing w:after="0" w:line="249"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9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425"/>
        </w:trPr>
        <w:tc>
          <w:tcPr>
            <w:tcW w:w="92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14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432"/>
        </w:trPr>
        <w:tc>
          <w:tcPr>
            <w:tcW w:w="92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14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324"/>
        </w:trPr>
        <w:tc>
          <w:tcPr>
            <w:tcW w:w="92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-753745</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-479425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-205105</wp:posOffset>
            </wp:positionV>
            <wp:extent cx="7132320"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4440" w:space="720"/>
            <w:col w:w="6080"/>
          </w:cols>
          <w:pgMar w:left="320" w:top="1159" w:right="339" w:bottom="1440" w:gutter="0" w:footer="0" w:header="0"/>
          <w:type w:val="continuous"/>
        </w:sectPr>
      </w:pPr>
    </w:p>
    <w:p>
      <w:pPr>
        <w:ind w:left="380" w:right="6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Seattle Lease resulted in the recognition of $1,153 in right-of-use assets obtained in exchange for operating lease liabilities as of May 1, 2025. The Company applied a 6.0% discount rate, its estimated incremental borrowing rate for similar secured assets, to determine the present value of the lease payments, as the implicit rate in the lease is not readily determinable. The discount rate was based on information available as of the lease commencement date.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weighted average remaining operating lease term was 4.0 years and 4.6 years, respectively, and the weighted average discount rate used to measure the operating lease liabilities was 8.00% and 8.23%,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As of September 30, 2026, scheduled future maturities and present value of the operating lease liabilities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60"/>
        </w:trPr>
        <w:tc>
          <w:tcPr>
            <w:tcW w:w="9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maturities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5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Present value included in condensed consolidated balance sheet:</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Difference between the maturities and related present value of operating lease liabilities</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identity and information solutions, as defined under ASC 280, “Segment Reporting.” There have been no significant changes in the basis of segmentation or in the basis of measurement of segment profit since the last annual report.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(the “CODM”) is a group consisting of its Chief Executive Officer, President, and Chief Financial Officer. The CODM assesses performance for the identity and information solutions segment and decides how to allocate resources based on net income that also is reported on the condensed consolidated statements of operations as net income. The measure of segment assets is reported on the condensed consolidated balance sheet as total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reported segment revenue, segment net income, and significant segment expenses is shown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80,299</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1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160" w:type="dxa"/>
            <w:vAlign w:val="bottom"/>
            <w:shd w:val="clear" w:color="auto" w:fill="CFF0FC"/>
          </w:tcPr>
          <w:p>
            <w:pPr>
              <w:ind w:left="100"/>
              <w:spacing w:after="0" w:line="255"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marketing and agency expenses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4"/>
                <w:szCs w:val="24"/>
                <w:color w:val="auto"/>
                <w:vertAlign w:val="superscript"/>
              </w:rPr>
              <w:t>(2)</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(3)</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net income</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6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14,793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-333375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-333375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-333375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420" w:hanging="372"/>
        <w:spacing w:after="0" w:line="282" w:lineRule="auto"/>
        <w:tabs>
          <w:tab w:leader="none" w:pos="3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(exclusive of depreciation and amortization) includes certain personnel-related expenses and share-based compensation expense, which are not included in the related line items below.</w:t>
      </w:r>
    </w:p>
    <w:p>
      <w:pPr>
        <w:spacing w:after="0" w:line="161" w:lineRule="exact"/>
        <w:rPr>
          <w:rFonts w:ascii="Times New Roman" w:cs="Times New Roman" w:eastAsia="Times New Roman" w:hAnsi="Times New Roman"/>
          <w:sz w:val="18"/>
          <w:szCs w:val="18"/>
          <w:color w:val="auto"/>
        </w:rPr>
      </w:pPr>
    </w:p>
    <w:p>
      <w:pPr>
        <w:ind w:left="380" w:right="40" w:hanging="372"/>
        <w:spacing w:after="0" w:line="266" w:lineRule="auto"/>
        <w:tabs>
          <w:tab w:leader="none" w:pos="3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included $225 and $533 of acquisition-related costs incurred in connection with due diligence of potential strategic targets for the three and nine months ended September 30, 2026, respectively, compared to $(12) and $358 for the three and nine months ended September 30, 2025,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spacing w:after="0"/>
        <w:tabs>
          <w:tab w:leader="none" w:pos="340" w:val="left"/>
        </w:tabs>
        <w:rPr>
          <w:sz w:val="20"/>
          <w:szCs w:val="20"/>
          <w:color w:val="auto"/>
        </w:rPr>
      </w:pPr>
      <w:r>
        <w:rPr>
          <w:rFonts w:ascii="Times New Roman" w:cs="Times New Roman" w:eastAsia="Times New Roman" w:hAnsi="Times New Roman"/>
          <w:sz w:val="18"/>
          <w:szCs w:val="18"/>
          <w:color w:val="auto"/>
        </w:rPr>
        <w:t>(3)</w:t>
        <w:tab/>
        <w:t>Other segment items include primarily travel and entertainment, write-off of long-lived assets, and other selling,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incurred data costs, included within cost of revenue (exclusive of depreciation and amortization), of $2,502 and $2,423 for the three months ended September 30, 2026 and 2025, respectively, and $7,384 and $7,382 for the nine months ended September 30, 2026 and 2025, respectively, under certain data licensing agreements.</w:t>
      </w:r>
    </w:p>
    <w:p>
      <w:pPr>
        <w:spacing w:after="0" w:line="13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 April 2025, the Company entered into a five-year, non-cancellable cloud services agreement with a third-party provider. The agreement includes a minimum annual purchase commitment of $3.0 million, beginning May 1, 2025. Costs incurred under this agreement are either (i) expensed as infrastructure fees and included in cost of revenue (exclusive of depreciation and amortization) when used in the delivery of our services to customers, or</w:t>
      </w:r>
    </w:p>
    <w:p>
      <w:pPr>
        <w:spacing w:after="0" w:line="1" w:lineRule="exact"/>
        <w:rPr>
          <w:sz w:val="20"/>
          <w:szCs w:val="20"/>
          <w:color w:val="auto"/>
        </w:rPr>
      </w:pPr>
    </w:p>
    <w:p>
      <w:pPr>
        <w:ind w:right="240" w:firstLine="8"/>
        <w:spacing w:after="0" w:line="260"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as internal-use software costs within intangible assets when consumed in the development or enhancement of the Company’s internal-use software.</w:t>
      </w:r>
    </w:p>
    <w:p>
      <w:pPr>
        <w:spacing w:after="0" w:line="14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2026, the total material capital commitments under certain data licensing agreements and the cloud services agreement amounted to $32,438, shown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4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than as described below, 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The Company reviews legal proceedings and claims on an ongoing basis and follows appropriate accounting guidance, including ASC 450, when making accrual and disclosure decisions. 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loss has been incurred is probable, but the amount cannot be reasonably estimated.</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February 7, 2024, the Company was named as a defendant by Atlas Data Privacy Corporation (“Atlas”), Jane Doe-1, Jane Doe-2, Edwin Maldonado, Scott Maloney, Justyna Maloney, Patrick Colligan, and William Sullivan in an action filed in the Superior Court of New Jersey, Law Division, Monmouth County (the “Action”). Each plaintiff, other than Atlas, alleges that they are a covered person under a New Jersey state statute known as “Daniel’s Law”; Atlas alleges it is the assignee of claims from covered persons who allege Daniel’s Law was violated as to them. Each plaintiff, on their own behalf, and Atlas, on behalf of the alleged assignors, alleges the Company failed to comply with Daniel’s Law by not suppressing their home address and unpublished telephone number within 10 business days of receiving a suppression request.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is one of over 150 companies sued by Atlas and a combination of individual plaintiffs in actions containing nearly identical allegations and seeking similar damages. The Company removed the matter to the United States District Court for the District of New Jersey, but it was remanded to the Superior Court of New Jersey, Law Division, Monmouth County by order dated November 21, 2024, where the Action is pending. On May 1, 2026, the acting Administrative Director of the Courts denied Atlas’s application to consolidate all cases against various defendants in the Superior Court of New Jersey. No trial date has been scheduled. Each plaintiff and Atlas seek to recover actual damages that are not less than liquidated damages under Daniel’s Law, punitive damages, pre- and post-judgment interest, attorneys’ fees and costs and injunctive relief. The Company is vigorously defending itself in the Action. Should the case be tried, an adverse ruling could have an immediate near-term impact on the Company's business, financial position, and/or operations. The Company has notified its insurer of the Action and has confirmed that the claim falls within the scope of its insurance coverage. As such, the Company anticipates that the insurer will cover defense costs and any potential liability, subject to policy limits and customary exclusions.</w:t>
      </w:r>
    </w:p>
    <w:p>
      <w:pPr>
        <w:spacing w:after="0" w:line="16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addition to the foregoing, the Company may be involved in litigation from time to time in the ordinary course of business. The Company does not believe that the ultimate resolution of any such matter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2025 filed on March 4, 2026 (the “2025 Form 10-K”), and other filings we make with the Securities and Exchange Commission (the "SEC"). We undertake no obligation to publicly update or revise any forward-looking statements, whether as a result of new information, future events or otherwise,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158"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discussion and analysis to “we,” “us,” “our,” “red violet,” or the “Company,” refer to Red Violet, Inc. and its consolidated subsidiaries.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8"/>
          <w:szCs w:val="18"/>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AI-embedded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artificial intelligence and machine learning embedded directly into CORE’s architecture from inception, and integrated with extensive proprietary data assets and regulated workflows, the platform enables customers to uncover actionable insights, accelerate decision-making, and operate at enterprise scale with materially reduced manual effort and operating costs. These AI-driven capabilities support the streamlining of labor-intensive workflows through automated, intelligence-driven processes that materially enhance efficiency and outcomes across risk management, compliance, and investigative functions.</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extensive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enhance safety, and mitigate fraud and the related financial losses across the markets we serve.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2026 and 2025, IDI had 11,252 and 9,853 billable customers, respectively, and FOREWARN had 462,861 and 372,209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17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September 30, 2026 and 2025, 78% and 75% of total revenue was attributable to customers with pricing contracts, respectively, versus 22% and 25% attributable to transactional customers, respectively. For the nine months ended September 30, 2026 and 2025, 77% and 75% of total revenue was attributable to customers with pricing contracts, respectively, versus 23% and 25% attributable to transactional customers, respectively.</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For additional information, please refer to our 2025 Form 10-K. There have been no material changes to Critical Accounting Policies and Estimates disclosed in our 2025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1(b),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in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Third Quarter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2026 as compared to the three months ended September 30, 2025:</w:t>
      </w:r>
    </w:p>
    <w:p>
      <w:pPr>
        <w:spacing w:after="0" w:line="117"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20% to $27.8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25% to $21.0 million. Gross margin increased to 76% from 73%.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22% to $23.7 million. Adjusted gross margin increased to 85% from 84%.</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29% to $5.4 million, which resulted in earnings of $0.35 per basic and diluted share. Net income margin increased to 20% from 18%.</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22% to $11.0 million. Adjusted EBITDA margin increased to 40% from 39%.</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23% to $7.3 million, which resulted in adjusted earnings of $0.48 and $0.47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increased 25% to $12.7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together with investments in U.S. Treasury securities, totaled $165.7 million as of September 30, 2026, with no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Recent Business Highlights</w:t>
      </w:r>
    </w:p>
    <w:p>
      <w:pPr>
        <w:spacing w:after="0" w:line="121" w:lineRule="exact"/>
        <w:rPr>
          <w:sz w:val="20"/>
          <w:szCs w:val="20"/>
          <w:color w:val="auto"/>
        </w:rPr>
      </w:pPr>
    </w:p>
    <w:p>
      <w:pPr>
        <w:ind w:left="380" w:right="240" w:hanging="372"/>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an Underwritten Public Offering (as defined below) of 1,916,667 shares of common stock, including 250,000 shares of common stock sold pursuant to the full exercise of the underwriters’ option, providing net proceeds of $108.7 million, after deducting underwriting discounts and commissions and offering expenses.</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383 customers to IDI during the third quarter, ending the quarter with 11,252 customers.</w:t>
      </w:r>
    </w:p>
    <w:p>
      <w:pPr>
        <w:spacing w:after="0" w:line="130" w:lineRule="exact"/>
        <w:rPr>
          <w:rFonts w:ascii="Times New Roman" w:cs="Times New Roman" w:eastAsia="Times New Roman" w:hAnsi="Times New Roman"/>
          <w:sz w:val="18"/>
          <w:szCs w:val="18"/>
          <w:color w:val="auto"/>
        </w:rPr>
      </w:pPr>
    </w:p>
    <w:p>
      <w:pPr>
        <w:ind w:left="380" w:right="60" w:hanging="372"/>
        <w:spacing w:after="0" w:line="223"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19,688 users to FOREWARN during the third quarter, ending the quarter with 462,861 users. Over 665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throughout the U.S. are now contracted to use FOREWARN.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5"/>
                <w:szCs w:val="15"/>
                <w:color w:val="auto"/>
              </w:rPr>
            </w:pPr>
          </w:p>
        </w:tc>
        <w:tc>
          <w:tcPr>
            <w:tcW w:w="29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32,917</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27,751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23,083</w:t>
            </w:r>
          </w:p>
        </w:tc>
        <w:tc>
          <w:tcPr>
            <w:tcW w:w="220" w:type="dxa"/>
            <w:vAlign w:val="bottom"/>
          </w:tcPr>
          <w:p>
            <w:pPr>
              <w:spacing w:after="0"/>
              <w:rPr>
                <w:sz w:val="17"/>
                <w:szCs w:val="17"/>
                <w:color w:val="auto"/>
              </w:rPr>
            </w:pP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80,299</w:t>
            </w:r>
          </w:p>
        </w:tc>
        <w:tc>
          <w:tcPr>
            <w:tcW w:w="240" w:type="dxa"/>
            <w:vAlign w:val="bottom"/>
          </w:tcPr>
          <w:p>
            <w:pPr>
              <w:spacing w:after="0"/>
              <w:rPr>
                <w:sz w:val="17"/>
                <w:szCs w:val="17"/>
                <w:color w:val="auto"/>
              </w:rPr>
            </w:pPr>
          </w:p>
        </w:tc>
        <w:tc>
          <w:tcPr>
            <w:tcW w:w="3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66,860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-625475</wp:posOffset>
            </wp:positionV>
            <wp:extent cx="111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-608330</wp:posOffset>
            </wp:positionV>
            <wp:extent cx="1111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-625475</wp:posOffset>
            </wp:positionV>
            <wp:extent cx="1111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-608330</wp:posOffset>
            </wp:positionV>
            <wp:extent cx="1111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-625475</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-608330</wp:posOffset>
            </wp:positionV>
            <wp:extent cx="1111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-625475</wp:posOffset>
            </wp:positionV>
            <wp:extent cx="1117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-608330</wp:posOffset>
            </wp:positionV>
            <wp:extent cx="1117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1111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1111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111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net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(1)</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9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6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9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15,342,614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14,027,994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14,575,079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15,754,154</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14,618,657</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14,914,635</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14,567,167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-1559560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-1559560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-1559560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-950595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-933450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-950595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-933450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-950595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-650875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-633730</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-650875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-633730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-650875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40" w:hanging="372"/>
        <w:spacing w:after="0" w:line="258" w:lineRule="auto"/>
        <w:tabs>
          <w:tab w:leader="none" w:pos="3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combined federal and state statutory tax rate, which was approximately 26.00% for each of the three and nine months ended September 30, 2026 and 2025. The resulting tax effect may differ from applying such rate to total adjustments due to the tax treatment of certain items. Beginning with the 2025 Form 10-K, we updated the methodology for determining the income tax effects of adjustments in calculating non-GAAP adjusted net income. Prior-period amounts have been revised to conform to the current methodology and presentation. These revisions did not affect our previously reported GAAP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5"/>
                <w:szCs w:val="15"/>
                <w:color w:val="auto"/>
              </w:rPr>
            </w:pPr>
          </w:p>
        </w:tc>
        <w:tc>
          <w:tcPr>
            <w:tcW w:w="29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23,083</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80,299</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(11,655)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(10,784)</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related to cost of revenue</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(8,227)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60,417</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48,330</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82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Depreciation and amortization of certain intangible</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820" w:type="dxa"/>
            <w:vAlign w:val="bottom"/>
            <w:tcBorders>
              <w:bottom w:val="single" w:sz="8" w:color="CFF0FC"/>
            </w:tcBorders>
            <w:shd w:val="clear" w:color="auto" w:fill="CFF0FC"/>
          </w:tcPr>
          <w:p>
            <w:pPr>
              <w:ind w:left="100"/>
              <w:spacing w:after="0" w:line="255" w:lineRule="exact"/>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2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2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19,425</w:t>
            </w:r>
          </w:p>
        </w:tc>
        <w:tc>
          <w:tcPr>
            <w:tcW w:w="2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2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gross margin</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-1045210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-1045210</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-1045210</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-1045210</wp:posOffset>
            </wp:positionV>
            <wp:extent cx="1117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-633730</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-633730</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-633730</wp:posOffset>
            </wp:positionV>
            <wp:extent cx="1111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-633730</wp:posOffset>
            </wp:positionV>
            <wp:extent cx="1117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1111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11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111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1111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7" w:lineRule="exact"/>
        <w:rPr>
          <w:sz w:val="20"/>
          <w:szCs w:val="20"/>
          <w:color w:val="auto"/>
        </w:rPr>
      </w:pPr>
    </w:p>
    <w:p>
      <w:pPr>
        <w:ind w:left="380" w:right="420" w:hanging="372"/>
        <w:spacing w:after="0" w:line="282" w:lineRule="auto"/>
        <w:tabs>
          <w:tab w:leader="none" w:pos="3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certain intangible assets primarily consists of the amortization of capitalized internal-use software development costs, which are included within intangible assets and amortized over their estimated useful lives.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financial measure, to FCF: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and liquidity.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and share-based compensation expense, and the impact of other items not indicative of our ongoing operating performance.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amortization of share-based compensation capitalized in intangible assets, and other items not indicative of our ongoing operating performance,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certain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increased $4.7 million, or 20%, to $27.8 million for the three months ended September 30, 2026, compared to $23.1 million for the same period in 2025. The increase was driven by strong onboarding of new customers and volume expansion across the existing customer base.</w:t>
      </w:r>
    </w:p>
    <w:p>
      <w:pPr>
        <w:spacing w:after="0" w:line="54"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increased $0.2 million, or 11%, to $1.6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existing customers increased $4.5 million, or 21%, to $26.1 million.</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2026, our IDI billable customer base increased to 11,252 customers, up from 9,853 customers a year earlier. Our FOREWARN user base increased to 462,861 users, up from 372,209 users a year earlier.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increased $0.4 million, or 11%, to $4.0 million for the three months ended September 30, 2026, compared to $3.6 million for the same period in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t>Our cost of revenue primarily consists of data acquisition costs, which include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44% and 46% of our total data acquisition costs for the three months ended September 30, 2026 and 2025, respectively. Effective on May 1, 2025, we entered into an amendment with our largest data supplier, extending the term of the agreement through April 30, 2031.</w:t>
      </w:r>
    </w:p>
    <w:p>
      <w:pPr>
        <w:spacing w:after="0" w:line="1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 components of our cost of revenue include cloud infrastructure fees, and pertinent personnel-related costs and share-based compensation expense.</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Due to the fixed-cost nature of our primary data licensing structure, cost of revenue as a percentage of revenue decreased to 14% for the three months ended September 30, 2026, compared to 16% for the same period in 2025. We expect this percentage to continue to decline over time as our revenue increases.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$0.8 million, or 14%, to $6.2 million for the three months ended September 30, 2026, compared to $5.4 million for the same period in 2025. We continued to invest in expanding our go-to-market capabilities to support long-term revenue growth.</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personnel-related expenses, advertising, marketing and agency expenses, travel expenses, and share-based compensation expense incurred by our sales team, and provision for bad debts.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2026 and 2025, sales and marketing expenses consisted primarily of:</w:t>
      </w:r>
    </w:p>
    <w:p>
      <w:pPr>
        <w:spacing w:after="0" w:line="117"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$4.5 million and $4.4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$0.2 million and $0.2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marketing and agency expenses of $0.4 million and $0.3 million, respectively;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bad debts of $0.4 million and $0.1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$2.2 million, or 32%, to $9.0 million for the three months ended September 30, 2026, compared to $6.8 million for the same period in 2025. The increase reflects higher personnel-related expenses and share-based compensation expense to support the continued growth of the business, as well as higher professional fees.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2026 and 2025, general and administrative expenses consisted primarily of:</w:t>
      </w:r>
    </w:p>
    <w:p>
      <w:pPr>
        <w:spacing w:after="0" w:line="117"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$4.2 million and $3.5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$1.8 million and $1.5 million, respectively; and</w:t>
      </w:r>
    </w:p>
    <w:p>
      <w:pPr>
        <w:spacing w:after="0" w:line="11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of $2.2 million and $1.2 million, respectively. Professional fees included $0.2 million and $0, respectively, of acquisition-related costs incurred in connection with the due diligence of potential strategic targets.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$0.1 million, or 5%, to $2.8 million for the three months ended September 30, 2026, compared to $2.7 million for the same period in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 the amortization of intangible assets that became ready for their intended use after September 30,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income increased $0.7 million, or 177%, to $1.1 million for the three months ended September 30, 2026, compared to $0.4 million for the three months ended September 30, 2025.</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increase in interest income was primarily attributable to higher average balances invested in money market funds and U.S. Treasury securities, reflecting the net proceeds from the Underwritten Public Offering in August 2026 and cash generated from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Income before income taxes increased $1.8 million, or 38%, to $6.8 million for the three months ended September 30, 2026, compared to $5.0 million for the same period in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w:t>
      </w:r>
    </w:p>
    <w:p>
      <w:pPr>
        <w:spacing w:after="0" w:line="117"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$4.7 million in revenue;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$0.7 million in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cost of revenue (exclusive of depreciation and amortization);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in personnel-related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share-based compensation expense;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in professional fees;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in provision for bad debts;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million in depreciation and amortization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$1.4 million for the three months ended September 30, 2026, compared to $0.7 million for the same period in 2025.</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was primarily attributable to higher pre-tax income and the increase in the Company’s effective tax rate to 20% for the three months ended September 30, 2026 from 15% for the same period in 2025.</w:t>
      </w:r>
    </w:p>
    <w:p>
      <w:pPr>
        <w:spacing w:after="0" w:line="135" w:lineRule="exact"/>
        <w:rPr>
          <w:sz w:val="20"/>
          <w:szCs w:val="20"/>
          <w:color w:val="auto"/>
        </w:rPr>
      </w:pPr>
    </w:p>
    <w:p>
      <w:pPr>
        <w:ind w:right="2420"/>
        <w:spacing w:after="0" w:line="453" w:lineRule="auto"/>
        <w:rPr>
          <w:sz w:val="20"/>
          <w:szCs w:val="20"/>
          <w:color w:val="auto"/>
        </w:rPr>
      </w:pPr>
      <w:r>
        <w:rPr>
          <w:rFonts w:ascii="Times New Roman" w:cs="Times New Roman" w:eastAsia="Times New Roman" w:hAnsi="Times New Roman"/>
          <w:sz w:val="18"/>
          <w:szCs w:val="18"/>
          <w:color w:val="auto"/>
        </w:rPr>
        <w:t xml:space="preserve">For additional information, refer to Note 7, “Income taxes,” in “Notes to Condensed Consolidated Financial Statements.” </w:t>
      </w:r>
      <w:r>
        <w:rPr>
          <w:rFonts w:ascii="Times New Roman" w:cs="Times New Roman" w:eastAsia="Times New Roman" w:hAnsi="Times New Roman"/>
          <w:sz w:val="18"/>
          <w:szCs w:val="18"/>
          <w:b w:val="1"/>
          <w:bCs w:val="1"/>
          <w:i w:val="1"/>
          <w:iCs w:val="1"/>
          <w:color w:val="auto"/>
        </w:rPr>
        <w:t>Net income</w:t>
      </w:r>
    </w:p>
    <w:p>
      <w:pPr>
        <w:spacing w:after="0" w:line="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income increased $1.2 million, or 29%, to $5.4 million for the three months ended September 30, 2026, compared to $4.2 million for the same period in 2025, as a result of the foregoing.</w:t>
      </w:r>
    </w:p>
    <w:p>
      <w:pPr>
        <w:spacing w:after="0" w:line="131" w:lineRule="exact"/>
        <w:rPr>
          <w:sz w:val="20"/>
          <w:szCs w:val="20"/>
          <w:color w:val="auto"/>
        </w:rPr>
      </w:pPr>
    </w:p>
    <w:p>
      <w:pPr>
        <w:ind w:right="4300"/>
        <w:spacing w:after="0" w:line="456" w:lineRule="auto"/>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nine months ended September 30, 2025 Revenue</w:t>
      </w: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Revenue increased $13.4 million, or 20%, to $80.3 million for the nine months ended September 30, 2026, compared to $66.9 million for the same period in 2025. The increase was driven by volume expansion across the existing customer base, partially offset by the decrease in revenue from new customers.</w:t>
      </w:r>
    </w:p>
    <w:p>
      <w:pPr>
        <w:spacing w:after="0" w:line="32"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existing customers increased $13.6 million, or 22%, to $74.6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decreased $0.1 million, or 2%, to $5.7 million.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2026, our IDI billable customer base increased to 11,252 customers, up from 9,853 customers a year earlier. Our FOREWARN user base increased to 462,861 users, up from 372,209 users a year earlier.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increased $0.9 million, or 8%, to $11.7 million for the nine months ended September 30, 2026, compared to $10.8 million for the same period in 2025.</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7" w:right="41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18"/>
          <w:szCs w:val="18"/>
          <w:color w:val="auto"/>
        </w:rPr>
        <w:t>Our cost of revenue primarily consists of data acquisition costs, which include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45% of our total data acquisition costs for each of the nine months ended September 30, 2026 and 2025. Effective on May 1, 2025, we entered into an amendment with our largest data supplier, extending the term of the agreement through April 30, 2031.</w:t>
      </w:r>
    </w:p>
    <w:p>
      <w:pPr>
        <w:spacing w:after="0" w:line="1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 components of our cost of revenue include cloud infrastructure fees, and pertinent personnel-related costs and share-based compensation expense.</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Due to the fixed-cost nature of our primary data licensing structure, cost of revenue as a percentage of revenue decreased to 15% for the nine months ended September 30, 2026, compared to 16% for the same period in 2025. We expect this percentage to continue to decline over time as our revenue increases.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$1.4 million, or 8%, to $17.8 million for the nine months ended September 30, 2026, compared to $16.4 million for the same period in 2025. We continued to invest in expanding our go-to-market capabilities to support long-term revenue growth.</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personnel-related expenses, advertising, marketing and agency expenses, travel expenses, and share-based compensation expense incurred by our sales team, and provision for bad debts.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and 2025, sales and marketing expenses consisted primarily of:</w:t>
      </w:r>
    </w:p>
    <w:p>
      <w:pPr>
        <w:spacing w:after="0" w:line="117"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$13.6 million and $13.5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$0.6 million and $0.6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marketing and agency expenses of $1.1 million and $0.8 million, respectively;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bad debts of $0.8 million and $0.4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$4.9 million, or 24%, to $25.1 million for the nine months ended September 30, 2026, compared to $20.2 million for the same period in 2025. The increase reflects higher personnel-related expenses and share-based compensation expense to support the continued growth of the business, as well as higher professional fees.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and 2025, general and administrative expenses consisted primarily of:</w:t>
      </w:r>
    </w:p>
    <w:p>
      <w:pPr>
        <w:spacing w:after="0" w:line="11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$12.4 million and $10.0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$5.7 million and $4.5 million, respectively; and</w:t>
      </w:r>
    </w:p>
    <w:p>
      <w:pPr>
        <w:spacing w:after="0" w:line="117"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of $5.2 million and $3.8 million, respectively. Professional fees included $0.5 million and $0.4 million, respectively, of acquisition-related costs incurred in connection with the due diligence of potential strategic targets.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$0.5 million, or 7%, to $8.4 million for the nine months ended September 30, 2026, compared to $7.9 million for the same period in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 the amortization of intangible assets that became ready for their intended use after September 30,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income increased $0.8 million, or 75%, to $1.8 million for the nine months ended September 30, 2026, compared to $1.0 million for the nine months ended September 30, 2025.</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increase in interest income was primarily attributable to higher average balances invested in money market funds and U.S. Treasury securities, reflecting the net proceeds from the Underwritten Public Offering in August 2026 and cash generated from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before income taxes increased $6.5 million, or 52%, to $19.1 million for the nine months ended September 30, 2026, compared to $12.6 million for the same period in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w:t>
      </w:r>
    </w:p>
    <w:p>
      <w:pPr>
        <w:spacing w:after="0" w:line="11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$13.4 million in revenue;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$0.8 million in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$0.9 million in cost of revenue (exclusive of depreciation and amortization);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 million in personnel-related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in share-based compensation expense;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in professional fees;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provision for bad debts;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in depreciation and amortization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$4.3 million for the nine months ended September 30, 2026, compared to $2.2 million for the same period in 2025.</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was primarily attributable to higher pre-tax income and the increase in the Company’s effective tax rate to 23% for the nine months ended September 30, 2026 from 18% for the same period in 2025.</w:t>
      </w:r>
    </w:p>
    <w:p>
      <w:pPr>
        <w:spacing w:after="0" w:line="135" w:lineRule="exact"/>
        <w:rPr>
          <w:sz w:val="20"/>
          <w:szCs w:val="20"/>
          <w:color w:val="auto"/>
        </w:rPr>
      </w:pPr>
    </w:p>
    <w:p>
      <w:pPr>
        <w:ind w:right="2480"/>
        <w:spacing w:after="0" w:line="453" w:lineRule="auto"/>
        <w:rPr>
          <w:sz w:val="20"/>
          <w:szCs w:val="20"/>
          <w:color w:val="auto"/>
        </w:rPr>
      </w:pPr>
      <w:r>
        <w:rPr>
          <w:rFonts w:ascii="Times New Roman" w:cs="Times New Roman" w:eastAsia="Times New Roman" w:hAnsi="Times New Roman"/>
          <w:sz w:val="18"/>
          <w:szCs w:val="18"/>
          <w:color w:val="auto"/>
        </w:rPr>
        <w:t xml:space="preserve">For additional information, refer to Note 7, “Income taxes,” in “Notes to Condensed Consolidated Financial Statements.” </w:t>
      </w:r>
      <w:r>
        <w:rPr>
          <w:rFonts w:ascii="Times New Roman" w:cs="Times New Roman" w:eastAsia="Times New Roman" w:hAnsi="Times New Roman"/>
          <w:sz w:val="18"/>
          <w:szCs w:val="18"/>
          <w:b w:val="1"/>
          <w:bCs w:val="1"/>
          <w:i w:val="1"/>
          <w:iCs w:val="1"/>
          <w:color w:val="auto"/>
        </w:rPr>
        <w:t>Net income</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income increased $4.5 million, or 43%, to $14.8 million for the nine months ended September 30, 2026, compared to $10.3 million for the same period in 2025, as a result of the foregoing.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While the pace of inflation has shown signs of moderation more recently, macroeconomic uncertainty and higher interest rates have continued to influence business sentiment and spending patterns in certain sectors. These conditions have resulted in — and may continue to contribute to — fluctuations in transaction volumes, pricing dynamics, and operating margins across our services.</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elevated interest rates implemented to curb inflation may reduce demand for credit, which could in turn lead to lower usage of our services by customers in the banking, financial services, and adjacent industries.</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Despite these broader market dynamics, inflation has not had a material impact on our financial results to date. Where feasible, we have taken proactive steps to mitigate inflation-related cost increases, including implementing pricing adjustments where permitted under contract terms and competitive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net cash provided by operating activities was $29.9 million. This was primarily driven by: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9" w:name="page30"/>
    <w:bookmarkEnd w:id="29"/>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$14.8 million;</w:t>
      </w:r>
    </w:p>
    <w:p>
      <w:pPr>
        <w:spacing w:after="0" w:line="117"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adjustments totaling $19.7 million, including share-based compensation expense, depreciation and amortization, write-off of long-lived assets, provision for bad debts, noncash lease expenses, accretion of discount on investments in U.S. Treasury securities, net, and deferred income tax expense; and</w:t>
      </w:r>
    </w:p>
    <w:p>
      <w:pPr>
        <w:spacing w:after="0" w:line="67" w:lineRule="exact"/>
        <w:rPr>
          <w:rFonts w:ascii="Times New Roman" w:cs="Times New Roman" w:eastAsia="Times New Roman" w:hAnsi="Times New Roman"/>
          <w:sz w:val="18"/>
          <w:szCs w:val="18"/>
          <w:color w:val="auto"/>
        </w:rPr>
      </w:pPr>
    </w:p>
    <w:p>
      <w:pPr>
        <w:jc w:val="both"/>
        <w:ind w:left="380" w:right="6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resulted in a net use of cash of $4.6 million, primarily due to an increase in accounts receivable, and prepaid expenses and other current assets, and a decrease in accrued expenses and other current liabilities, partially offset by the increase in accounts payable and deferred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net cash provided by operating activities was $22.7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$10.3 million;</w:t>
      </w:r>
    </w:p>
    <w:p>
      <w:pPr>
        <w:spacing w:after="0" w:line="11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adjustments totaling $15.8 million, including share-based compensation expense, depreciation and amortization, write-off of long-lived assets, provision for bad debts, noncash lease expenses, and deferred income tax expense; and</w:t>
      </w:r>
    </w:p>
    <w:p>
      <w:pPr>
        <w:spacing w:after="0" w:line="53" w:lineRule="exact"/>
        <w:rPr>
          <w:rFonts w:ascii="Times New Roman" w:cs="Times New Roman" w:eastAsia="Times New Roman" w:hAnsi="Times New Roman"/>
          <w:sz w:val="18"/>
          <w:szCs w:val="18"/>
          <w:color w:val="auto"/>
        </w:rPr>
      </w:pPr>
    </w:p>
    <w:p>
      <w:pPr>
        <w:jc w:val="both"/>
        <w:ind w:left="380" w:right="6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resulted in a net use of cash of $3.5 million, primarily due to an increase in accounts receivable, and prepaid expenses and other current assets, and a decrease in accrued expenses and other current liabilities, partially offset by the increase in accounts payable.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net cash used in investing activities was $109.8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investments in U.S. Treasury securities totaling $98.9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costs included in intangible assets totaling $10.6 million.</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Purchases of investments in U.S. Treasury securities included $0.9 million of accrued interest purchased. No investments matured during the period, and the first maturity is in March 2027.</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investing activities was $8.1 million. This was primarily driven by the capitalized costs included in intangible assets totaling $7.7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net cash provided by financing activities was $104.4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issuance of common stock, net of issuance costs, totaling $108.7 million, through the Underwritten Public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in connection with the net share settlement of vesting RSUs totaling $1.2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repurchases totaling $3.1 million, conducted pursuant to our Stock Repurchase Program (as defined below).</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August 7, 2026, we closed an underwritten public offering of 1,916,667 shares of common stock at a public offering price of $60.00 per share (the "Underwritten Public Offering"), which included the exercise in full by the underwriters of their option to purchase 250,000 additional shares. The gross proceeds were $115.0 million, and the net proceeds were $108.7 million, after deducting underwriting discounts and commissions and offering expenses. See Note 8, “Shareholders' equity,” in “Notes to Condensed Consolidated Financial Statements” for additional information.</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May 2, 2022, our Board of Directors authorized a stock repurchase program to repurchase our common stock from time to time, which was subsequently amended on each of December 19, 2023, March 28, 2024, and November 3, 2025, bringing the total authorization to $30.0 million (the "Stock Repurchase Program"). See Note 8, “Shareholders’ equity,” in “Notes to Condensed Consolidated Financial Statements” for additional information.</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For the nine months ended September 30, 2025, net cash used in financing activities was $5.7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 special cash dividend totaling $4.2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in connection with the net share settlement of vesting RSUs totaling $0.9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repurchases totaling $0.7 million, conducted pursuant to our Stock Repurchase Program.</w:t>
      </w:r>
    </w:p>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3, 2024, we declared a special cash dividend of $0.30 per share on our common stock to shareholders of record as of January 31, 2025. The dividend, totaling $4.2 million, was paid on February 14,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had material commitments under data licensing agreements and a cloud services agreement totaling $32.4 million.</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expect to fund these commitments, as well as our ongoing operating and capital requirements over the next twelve months, using available cash and cash equivalents, investments in U.S. Treasury securities, and cash flows generated from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reported net income of $5.4 million and $4.2 million for the three months ended September 30, 2026 and 2025, respectively, and $14.8 million and $10.3 million for the nine months ended September 30, 2026 and 2025, respectively. As of September 30, 2026, we had total shareholders’ equity of $227.6 million, cash and cash equivalents of $68.1 million, and investments in U.S. Treasury securities of $97.6 million.</w:t>
      </w:r>
    </w:p>
    <w:p>
      <w:pPr>
        <w:spacing w:after="0" w:line="1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August 2026, we closed the Underwritten Public Offering (as defined above) with net proceeds to us of $108.7 million, after deducting underwriting discounts and commissions and offering expenses. Following the offering, we invested a portion of our excess cash in U.S. Treasury securities, of which $36.3 million will mature within one year. See Note 3, “Investments,” in “Notes to Condensed Consolidated Financial Statements.”</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Based on our projected growth in revenue and operating results, together with our available cash and cash equivalents and investments in U.S. Treasury securities, we believe that our existing resources will be sufficient to fund our operations and expected capital expenditures for at least the next twelve months.</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While we anticipate continuing to fund our business through internally generated cash flows and our existing cash and investment balances, future capital needs may arise based on the pace of revenue growth, investment in technology, or strategic initiatives, including potential acquisitions. In such cases, we may seek to raise additional capital through the issuance of equity and/or debt securities. However, any such financing, if available, could result in dilution to existing shareholders and may involve terms that are not favorable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did not have any off-balance sheet arrangements, as defined in Item 303 of Regulation 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required by this item.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September 30, 2026.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1" w:name="page32"/>
    <w:bookmarkEnd w:id="31"/>
    <w:p>
      <w:pPr>
        <w:ind w:right="160"/>
        <w:spacing w:after="0" w:line="312" w:lineRule="auto"/>
        <w:rPr>
          <w:sz w:val="20"/>
          <w:szCs w:val="20"/>
          <w:color w:val="auto"/>
        </w:rPr>
      </w:pPr>
      <w:r>
        <w:rPr>
          <w:rFonts w:ascii="Times New Roman" w:cs="Times New Roman" w:eastAsia="Times New Roman" w:hAnsi="Times New Roman"/>
          <w:sz w:val="17"/>
          <w:szCs w:val="17"/>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September 30,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quarter ended September 30, 2026 that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12, “Commitments and contingencies,” included in “Notes to Condensed Consolidated Financial Statements” contained in Part I, Item 1 of this Form 10-Q,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Company’s 2025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2, 2022, the Company's Board of Directors authorized the Stock Repurchase Program to repurchase the Company's common stock from time to time through open market purchases, privately negotiated transactions or other means, including pursuant to Rule 10b5-1 trading plans, which was subsequently amended on each of December 19, 2023, March 28, 2024, and November 3, 2025, bringing the total authorization to $30.0 million. The Stock Repurchase Program does not obligate the Company to repurchase any shares and may be modified, suspended, or terminated at any time at the discretion of the Company's Board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2026, the Company did not repurchase any common stock pursuant to the Stock Repurchase Program.</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Since the inception of the Stock Repurchase Program and through September 30, 2026, the Company has purchased a total of $14.5 million of common stock at an average price of $22.82 per share.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No officers or directors had any contract, instruction, or written plan for the purchase or sale of our securities that was intended to satisfy the affirmative defense conditions of Rule 10b5-1(c) or any “non-Rule 10b5-1 trading arrangement” in effect at any time during the quarter ended September 30, 2026.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Filed</w:t>
            </w:r>
          </w:p>
        </w:tc>
        <w:tc>
          <w:tcPr>
            <w:tcW w:w="0" w:type="dxa"/>
            <w:vAlign w:val="bottom"/>
          </w:tcPr>
          <w:p>
            <w:pPr>
              <w:spacing w:after="0"/>
              <w:rPr>
                <w:sz w:val="1"/>
                <w:szCs w:val="1"/>
                <w:color w:val="auto"/>
              </w:rPr>
            </w:pPr>
          </w:p>
        </w:tc>
      </w:tr>
      <w:tr>
        <w:trPr>
          <w:trHeight w:val="128"/>
        </w:trPr>
        <w:tc>
          <w:tcPr>
            <w:tcW w:w="8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1"/>
                <w:szCs w:val="11"/>
                <w:color w:val="auto"/>
              </w:rPr>
            </w:pPr>
          </w:p>
        </w:tc>
        <w:tc>
          <w:tcPr>
            <w:tcW w:w="4760" w:type="dxa"/>
            <w:vAlign w:val="bottom"/>
            <w:tcBorders>
              <w:bottom w:val="single" w:sz="8" w:color="auto"/>
            </w:tcBorders>
            <w:gridSpan w:val="9"/>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00" w:type="dxa"/>
            <w:vAlign w:val="bottom"/>
          </w:tcPr>
          <w:p>
            <w:pPr>
              <w:spacing w:after="0"/>
              <w:rPr>
                <w:sz w:val="11"/>
                <w:szCs w:val="11"/>
                <w:color w:val="auto"/>
              </w:rPr>
            </w:pPr>
          </w:p>
        </w:tc>
        <w:tc>
          <w:tcPr>
            <w:tcW w:w="1020" w:type="dxa"/>
            <w:vAlign w:val="bottom"/>
            <w:tcBorders>
              <w:bottom w:val="single" w:sz="8" w:color="auto"/>
            </w:tcBorders>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Form</w:t>
            </w:r>
          </w:p>
        </w:tc>
        <w:tc>
          <w:tcPr>
            <w:tcW w:w="100" w:type="dxa"/>
            <w:vAlign w:val="bottom"/>
          </w:tcPr>
          <w:p>
            <w:pPr>
              <w:spacing w:after="0"/>
              <w:rPr>
                <w:sz w:val="11"/>
                <w:szCs w:val="11"/>
                <w:color w:val="auto"/>
              </w:rPr>
            </w:pPr>
          </w:p>
        </w:tc>
        <w:tc>
          <w:tcPr>
            <w:tcW w:w="1000" w:type="dxa"/>
            <w:vAlign w:val="bottom"/>
            <w:tcBorders>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1"/>
                <w:szCs w:val="11"/>
                <w:color w:val="auto"/>
              </w:rPr>
            </w:pPr>
          </w:p>
        </w:tc>
        <w:tc>
          <w:tcPr>
            <w:tcW w:w="1040" w:type="dxa"/>
            <w:vAlign w:val="bottom"/>
            <w:tcBorders>
              <w:bottom w:val="single" w:sz="8" w:color="auto"/>
            </w:tcBorders>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1"/>
                <w:szCs w:val="11"/>
                <w:color w:val="auto"/>
              </w:rPr>
            </w:pPr>
          </w:p>
        </w:tc>
        <w:tc>
          <w:tcPr>
            <w:tcW w:w="1280" w:type="dxa"/>
            <w:vAlign w:val="bottom"/>
            <w:tcBorders>
              <w:bottom w:val="single" w:sz="8" w:color="auto"/>
            </w:tcBorders>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4"/>
                <w:szCs w:val="24"/>
                <w:color w:val="auto"/>
              </w:rPr>
            </w:pPr>
          </w:p>
        </w:tc>
        <w:tc>
          <w:tcPr>
            <w:tcW w:w="48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filed pursuant to Exchange Act Rules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2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Exchange Act of 1934 as adopted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1"/>
                <w:szCs w:val="11"/>
                <w:color w:val="auto"/>
              </w:rPr>
            </w:pPr>
          </w:p>
        </w:tc>
        <w:tc>
          <w:tcPr>
            <w:tcW w:w="4380" w:type="dxa"/>
            <w:vAlign w:val="bottom"/>
            <w:tcBorders>
              <w:top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Chief Financial Officer filed pursuant to Exchange Act Rules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80" w:type="dxa"/>
            <w:vAlign w:val="bottom"/>
            <w:tcBorders>
              <w:top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Exchange Act of 1934 as adopted</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1"/>
                <w:szCs w:val="11"/>
                <w:color w:val="auto"/>
              </w:rPr>
            </w:pPr>
          </w:p>
        </w:tc>
        <w:tc>
          <w:tcPr>
            <w:tcW w:w="4380" w:type="dxa"/>
            <w:vAlign w:val="bottom"/>
            <w:tcBorders>
              <w:top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1"/>
                <w:szCs w:val="11"/>
                <w:color w:val="auto"/>
              </w:rPr>
            </w:pPr>
          </w:p>
        </w:tc>
        <w:tc>
          <w:tcPr>
            <w:tcW w:w="462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r>
              <w:rPr>
                <w:rFonts w:ascii="Times New Roman" w:cs="Times New Roman" w:eastAsia="Times New Roman" w:hAnsi="Times New Roman"/>
                <w:sz w:val="14"/>
                <w:szCs w:val="14"/>
                <w:color w:val="000000"/>
              </w:rPr>
              <w:t>.</w:t>
            </w: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Certification by Chief Financial Officer pursuant to 18 U.S.C. Section 1350, as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80" w:type="dxa"/>
            <w:vAlign w:val="bottom"/>
            <w:tcBorders>
              <w:top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80" w:type="dxa"/>
            <w:vAlign w:val="bottom"/>
            <w:gridSpan w:val="3"/>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101.INS</w:t>
            </w:r>
          </w:p>
        </w:tc>
        <w:tc>
          <w:tcPr>
            <w:tcW w:w="100" w:type="dxa"/>
            <w:vAlign w:val="bottom"/>
          </w:tcPr>
          <w:p>
            <w:pPr>
              <w:spacing w:after="0"/>
              <w:rPr>
                <w:sz w:val="10"/>
                <w:szCs w:val="10"/>
                <w:color w:val="auto"/>
              </w:rPr>
            </w:pPr>
          </w:p>
        </w:tc>
        <w:tc>
          <w:tcPr>
            <w:tcW w:w="3940" w:type="dxa"/>
            <w:vAlign w:val="bottom"/>
            <w:tcBorders>
              <w:top w:val="single" w:sz="8" w:color="0000FF"/>
            </w:tcBorders>
            <w:gridSpan w:val="3"/>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 Document – the instance document does not</w:t>
            </w:r>
          </w:p>
        </w:tc>
        <w:tc>
          <w:tcPr>
            <w:tcW w:w="920" w:type="dxa"/>
            <w:vAlign w:val="bottom"/>
            <w:gridSpan w:val="7"/>
          </w:tcPr>
          <w:p>
            <w:pPr>
              <w:spacing w:after="0" w:line="119" w:lineRule="exact"/>
              <w:rPr>
                <w:sz w:val="20"/>
                <w:szCs w:val="20"/>
                <w:color w:val="auto"/>
              </w:rPr>
            </w:pPr>
            <w:r>
              <w:rPr>
                <w:rFonts w:ascii="Times New Roman" w:cs="Times New Roman" w:eastAsia="Times New Roman" w:hAnsi="Times New Roman"/>
                <w:sz w:val="13"/>
                <w:szCs w:val="13"/>
                <w:color w:val="auto"/>
              </w:rPr>
              <w:t>appear in the</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2"/>
                <w:szCs w:val="12"/>
                <w:color w:val="auto"/>
              </w:rPr>
            </w:pPr>
          </w:p>
        </w:tc>
        <w:tc>
          <w:tcPr>
            <w:tcW w:w="48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XBRL document.</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2"/>
                <w:szCs w:val="12"/>
                <w:color w:val="auto"/>
              </w:rPr>
            </w:pPr>
          </w:p>
        </w:tc>
        <w:tc>
          <w:tcPr>
            <w:tcW w:w="48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Documents.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200" w:firstLine="8"/>
        <w:spacing w:after="0" w:line="261" w:lineRule="auto"/>
        <w:tabs>
          <w:tab w:leader="none" w:pos="10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0"/>
        <w:spacing w:after="0"/>
        <w:tabs>
          <w:tab w:leader="none" w:pos="7180" w:val="left"/>
        </w:tabs>
        <w:rPr>
          <w:sz w:val="20"/>
          <w:szCs w:val="20"/>
          <w:color w:val="auto"/>
        </w:rPr>
      </w:pPr>
      <w:r>
        <w:rPr>
          <w:rFonts w:ascii="Times New Roman" w:cs="Times New Roman" w:eastAsia="Times New Roman" w:hAnsi="Times New Roman"/>
          <w:sz w:val="18"/>
          <w:szCs w:val="18"/>
          <w:color w:val="auto"/>
        </w:rPr>
        <w:t>November 4, 2026</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229"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546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752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3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16"/>
        </w:trPr>
        <w:tc>
          <w:tcPr>
            <w:tcW w:w="3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11"/>
        </w:trPr>
        <w:tc>
          <w:tcPr>
            <w:tcW w:w="37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752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3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3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37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September 30, 2026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724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40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16"/>
        </w:trPr>
        <w:tc>
          <w:tcPr>
            <w:tcW w:w="4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September 30, 2026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724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40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4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lowerRoman"/>
      <w:start w:val="2"/>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2026-11-04T15:58:25Z</dcterms:created>
  <dcterms:modified xsi:type="dcterms:W3CDTF">2026-11-04T15:58:25Z</dcterms:modified>
</cp:coreProperties>
</file>