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3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6, 2024</w:t>
      </w:r>
    </w:p>
    <w:p>
      <w:pPr>
        <w:spacing w:after="0" w:line="2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RED VIOLET,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201" w:lineRule="exact"/>
        <w:rPr>
          <w:sz w:val="24"/>
          <w:szCs w:val="24"/>
          <w:color w:val="auto"/>
        </w:rPr>
      </w:pPr>
    </w:p>
    <w:tbl>
      <w:tblPr>
        <w:tblLayout w:type="fixed"/>
        <w:tblInd w:w="1240" w:type="dxa"/>
        <w:tblCellMar>
          <w:top w:w="0" w:type="dxa"/>
          <w:left w:w="0" w:type="dxa"/>
          <w:bottom w:w="0" w:type="dxa"/>
          <w:right w:w="0" w:type="dxa"/>
        </w:tblCellMar>
      </w:tblP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001-38407</w:t>
            </w:r>
          </w:p>
        </w:tc>
        <w:tc>
          <w:tcPr>
            <w:tcW w:w="24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82-2408531</w:t>
            </w:r>
          </w:p>
        </w:tc>
      </w:tr>
      <w:tr>
        <w:trPr>
          <w:trHeight w:val="148"/>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0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0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2650 North Military Trail, Suite 300, Boca Raton, FL 33431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561-757-4000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6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 (s)</w:t>
            </w:r>
          </w:p>
        </w:tc>
        <w:tc>
          <w:tcPr>
            <w:tcW w:w="374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65"/>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r>
        <w:trPr>
          <w:trHeight w:val="19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RDVT</w:t>
            </w:r>
          </w:p>
        </w:tc>
        <w:tc>
          <w:tcPr>
            <w:tcW w:w="37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70"/>
        </w:trPr>
        <w:tc>
          <w:tcPr>
            <w:tcW w:w="3760" w:type="dxa"/>
            <w:vAlign w:val="bottom"/>
            <w:tcBorders>
              <w:left w:val="single" w:sz="8" w:color="auto"/>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r>
    </w:tbl>
    <w:p>
      <w:pPr>
        <w:spacing w:after="0" w:line="40" w:lineRule="exact"/>
        <w:rPr>
          <w:sz w:val="24"/>
          <w:szCs w:val="24"/>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1046480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November 6, 2024, Red Violet, Inc., a Delaware corporation (the “Company”), issued a press release announcing its financial results for the third quarter ended September 30, 2024 (the “Earnings Release”). A copy of the Earnings Release is furnished herewith as Exhibit 99.1.</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Also on November 6, 2024, following the issuance of the Earnings Release, the Company conducted a conference call to discuss the reported financial results for the third quarter ended September 30, 2024. The Company had issued a press release on October 23, 2024 to announce the scheduling of the conference call. A copy of the transcript of the conference call is furnished herewith as Exhibit 99.2.</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November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1811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99.2 </w:t>
      </w:r>
      <w:r>
        <w:rPr>
          <w:rFonts w:ascii="Times New Roman" w:cs="Times New Roman" w:eastAsia="Times New Roman" w:hAnsi="Times New Roman"/>
          <w:sz w:val="18"/>
          <w:szCs w:val="18"/>
          <w:u w:val="single" w:color="auto"/>
          <w:color w:val="0000FF"/>
        </w:rPr>
        <w:t>November 6, 2024 conference call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20364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64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83" w:lineRule="exact"/>
        <w:rPr>
          <w:sz w:val="20"/>
          <w:szCs w:val="20"/>
          <w:color w:val="auto"/>
        </w:rPr>
      </w:pPr>
    </w:p>
    <w:p>
      <w:pPr>
        <w:ind w:left="20"/>
        <w:spacing w:after="0"/>
        <w:tabs>
          <w:tab w:leader="none" w:pos="5220" w:val="left"/>
          <w:tab w:leader="none" w:pos="572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3488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Derek Dubner</w:t>
      </w:r>
    </w:p>
    <w:p>
      <w:pPr>
        <w:spacing w:after="0" w:line="3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1196340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red violet Announces Third Quarter 2024 Financial Results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Revenue Increases 20% to a Record $19.1 Million Producing a Record $7.2 Million of Cash Flow from Operations</w:t>
      </w:r>
    </w:p>
    <w:p>
      <w:pPr>
        <w:spacing w:after="0" w:line="22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BOCA RATON, Fla. – November 6, 2024 </w:t>
      </w:r>
      <w:r>
        <w:rPr>
          <w:rFonts w:ascii="Times New Roman" w:cs="Times New Roman" w:eastAsia="Times New Roman" w:hAnsi="Times New Roman"/>
          <w:sz w:val="18"/>
          <w:szCs w:val="18"/>
          <w:color w:val="auto"/>
        </w:rPr>
        <w:t>– Red Violet, Inc. (NASDAQ: RDVT), a leading analytics and information solutions provider,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financial results for the quarter ended September 30, 2024.</w:t>
      </w:r>
    </w:p>
    <w:p>
      <w:pPr>
        <w:spacing w:after="0" w:line="9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thrilled to report a record-breaking quarter for revenue, gross profit, and cash flow, which underscores the strength of our business and the commitment of our team. This exceptional performance enables us to continue investing in strategic initiatives, enhancing our offerings, and driving long-term value for our customers and shareholders alike,” said Derek Dubner, red violet’s CEO. “As we look ahead, we remain focused on leveraging these achievements to fuel accelerated growth and innovation across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2024 as compared to the three months ended September 30, 2023:</w:t>
      </w:r>
    </w:p>
    <w:p>
      <w:pPr>
        <w:spacing w:after="0" w:line="158"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20% to $19.1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28% to $13.4 million. Gross margin increased to 70% from 66%.</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26% to $15.7 million. Adjusted gross margin increased to 83% from 79%.</w:t>
      </w:r>
    </w:p>
    <w:p>
      <w:pPr>
        <w:spacing w:after="0" w:line="117" w:lineRule="exact"/>
        <w:rPr>
          <w:rFonts w:ascii="Times New Roman" w:cs="Times New Roman" w:eastAsia="Times New Roman" w:hAnsi="Times New Roman"/>
          <w:sz w:val="18"/>
          <w:szCs w:val="18"/>
          <w:color w:val="auto"/>
        </w:rPr>
      </w:pPr>
    </w:p>
    <w:p>
      <w:pPr>
        <w:ind w:left="380" w:right="440" w:hanging="372"/>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$1.7 million compared to $12.5 million (inclusive of a one-time deferred income tax benefit of $10.3 million), which resulted in earnings of $0.12 per basic and diluted share. Net income margin decreased to 9% from 79%.</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25% to $6.7 million. Adjusted EBITDA margin increased to 35% from 34%.</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23% to $3.2 million, which resulted in adjusted earnings of $0.23 and $0.22 per basic and diluted share,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increased 25% to $7.2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$35.7 million as of September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and Recent Business Highlights</w:t>
      </w:r>
    </w:p>
    <w:p>
      <w:pPr>
        <w:spacing w:after="0" w:line="168"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266 customers to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during the third quarter, ending the quarter with 8,743 customers.</w:t>
      </w:r>
    </w:p>
    <w:p>
      <w:pPr>
        <w:spacing w:after="0" w:line="75" w:lineRule="exact"/>
        <w:rPr>
          <w:rFonts w:ascii="Times New Roman" w:cs="Times New Roman" w:eastAsia="Times New Roman" w:hAnsi="Times New Roman"/>
          <w:sz w:val="18"/>
          <w:szCs w:val="18"/>
          <w:color w:val="auto"/>
        </w:rPr>
      </w:pPr>
    </w:p>
    <w:p>
      <w:pPr>
        <w:ind w:left="380" w:right="80" w:hanging="372"/>
        <w:spacing w:after="0" w:line="233"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21,091 users to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during the third quarter, ending the quarter with 284,967 users. Over 500 REALTOR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Associations throughout the U.S. are now contracted to use FOREWARN.</w:t>
      </w:r>
    </w:p>
    <w:p>
      <w:pPr>
        <w:spacing w:after="0" w:line="91" w:lineRule="exact"/>
        <w:rPr>
          <w:rFonts w:ascii="Times New Roman" w:cs="Times New Roman" w:eastAsia="Times New Roman" w:hAnsi="Times New Roman"/>
          <w:sz w:val="18"/>
          <w:szCs w:val="18"/>
          <w:color w:val="auto"/>
        </w:rPr>
      </w:pPr>
    </w:p>
    <w:p>
      <w:pPr>
        <w:ind w:left="380" w:right="26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292,744 shares of the Company’s common stock year to date at an average price of $19.81 per share pursuant to the Company’s $15.0 million Stock Repurchase Program, as amended, that was initially authorized on May 2, 2022. The Company has $4.6 million remaining under the Stock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conjunction with this release, red violet will host a conference call and webcast today at 4:30pm ET to discuss its quarterly results and provide a business update. Please click here to pre-register for the conference call and obtain your dial in number and passcode. To access the live audio webcast, visit the Investors section of the red violet website at www.redviolet.com. Please login at least 15 minutes prior to the start of the call to ensure adequate time for any downloads that may be required. Following the completion of the conference call, an archived webcast of the conference call will be available on the Investors section of the red violet website at www.redviolet.com.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red violet</w:t>
      </w:r>
      <w:r>
        <w:rPr>
          <w:rFonts w:ascii="Times New Roman" w:cs="Times New Roman" w:eastAsia="Times New Roman" w:hAnsi="Times New Roman"/>
          <w:sz w:val="24"/>
          <w:szCs w:val="24"/>
          <w:b w:val="1"/>
          <w:bCs w:val="1"/>
          <w:color w:val="auto"/>
          <w:vertAlign w:val="superscript"/>
        </w:rPr>
        <w:t>®</w:t>
      </w:r>
    </w:p>
    <w:p>
      <w:pPr>
        <w:spacing w:after="0" w:line="9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intelligent platform, CORE™, is purpose-built for the enterprise, yet flexible enough for organizations of all sizes, bringing clarity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ind w:right="100"/>
        <w:spacing w:after="0" w:line="282" w:lineRule="auto"/>
        <w:rPr>
          <w:sz w:val="20"/>
          <w:szCs w:val="20"/>
          <w:color w:val="auto"/>
        </w:rPr>
      </w:pPr>
      <w:r>
        <w:rPr>
          <w:rFonts w:ascii="Times New Roman" w:cs="Times New Roman" w:eastAsia="Times New Roman" w:hAnsi="Times New Roman"/>
          <w:sz w:val="18"/>
          <w:szCs w:val="18"/>
          <w:color w:val="auto"/>
        </w:rPr>
        <w:t>massive datasets by transforming data into intelligence. Our solutions are used today to enable frictionless commerce, to ensure safety, and to reduce fraud and the concomitant expense borne by society. For more information, please visit www.redviolet.com.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Camilo Ramirez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Violet,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561-757-4500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63C1"/>
        </w:rPr>
        <w:t>ir@redviolet.com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63C1"/>
        </w:rPr>
        <w:t>ir@redviolet.com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net, income tax expense (benefit), depreciation and amortization, share-based compensation expense, litigation costs, and write-off of long-lived assets and others. We define adjusted EBITDA margin as adjusted EBITDA as a percentage of revenue. Adjusted net income is a non-GAAP financial measure equal to net income, the most directly comparable financial measure based on US GAAP, excluding share-based compensation expense, amortization of share-based compensation capitalized in intangible assets, and discrete tax items,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our third quarter performance will enable us to continue investing in strategic initiatives, enhancing our offerings, and driving long-term value for our customers and shareholders and whether we are able to leverage our achievements to fuel accelerated growth and innovation across our business.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2023, filed on March 7, 2024, as may be supplemented or amended by the Company's other SEC filings. We undertake no obligation to publicly update or revise any forward-looking statement, whether as a result of new information, future events or otherwise, except as required by law.</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98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$238 and $159 as of</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97,970</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74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200" w:type="dxa"/>
            <w:vAlign w:val="bottom"/>
            <w:tcBorders>
              <w:top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740" w:type="dxa"/>
            <w:vAlign w:val="bottom"/>
            <w:gridSpan w:val="4"/>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stock—$0.001 par value, 200,000,000 shares authorized, 13,735,387 and</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7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13,980,274 shares issued, and 13,735,387 and 13,970,846 shares outstanding, as of</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77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7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Treasury stock, at cost, 0 and 9,428 shares as of September 30, 2024 and</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36"/>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93,393</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(1,733 )</w:t>
            </w: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(7,873 )</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91,674</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97,970</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4"/>
            <w:vMerge w:val="restart"/>
          </w:tcPr>
          <w:p>
            <w:pPr>
              <w:jc w:val="right"/>
              <w:ind w:right="20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4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-5065395</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-5065395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-3882390</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-3865245</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-2982595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-2682240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-950595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5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23"/>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55,624</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45,143</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b w:val="1"/>
                <w:bCs w:val="1"/>
                <w:color w:val="auto"/>
              </w:rPr>
              <w:t>Costs and expenses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00" w:type="dxa"/>
            <w:vAlign w:val="bottom"/>
          </w:tcPr>
          <w:p>
            <w:pPr>
              <w:spacing w:after="0"/>
              <w:rPr>
                <w:sz w:val="19"/>
                <w:szCs w:val="19"/>
                <w:color w:val="auto"/>
              </w:rPr>
            </w:pPr>
          </w:p>
        </w:tc>
      </w:tr>
      <w:tr>
        <w:trPr>
          <w:trHeight w:val="229"/>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19"/>
                <w:szCs w:val="19"/>
                <w:color w:val="auto"/>
              </w:rPr>
            </w:pPr>
          </w:p>
        </w:tc>
      </w:tr>
      <w:tr>
        <w:trPr>
          <w:trHeight w:val="223"/>
        </w:trPr>
        <w:tc>
          <w:tcPr>
            <w:tcW w:w="5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48,075</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spacing w:after="0"/>
              <w:rPr>
                <w:sz w:val="19"/>
                <w:szCs w:val="19"/>
                <w:color w:val="auto"/>
              </w:rPr>
            </w:pPr>
          </w:p>
        </w:tc>
      </w:tr>
      <w:tr>
        <w:trPr>
          <w:trHeight w:val="229"/>
        </w:trPr>
        <w:tc>
          <w:tcPr>
            <w:tcW w:w="5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19"/>
                <w:szCs w:val="19"/>
                <w:color w:val="auto"/>
              </w:rPr>
            </w:pPr>
          </w:p>
        </w:tc>
      </w:tr>
      <w:tr>
        <w:trPr>
          <w:trHeight w:val="230"/>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(10,384 )</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(10,253 )</w:t>
            </w:r>
          </w:p>
        </w:tc>
      </w:tr>
      <w:tr>
        <w:trPr>
          <w:trHeight w:val="223"/>
        </w:trPr>
        <w:tc>
          <w:tcPr>
            <w:tcW w:w="56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tcBorders>
              <w:top w:val="single" w:sz="8" w:color="CFF0FC"/>
            </w:tcBorders>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21"/>
                <w:szCs w:val="21"/>
                <w:color w:val="auto"/>
              </w:rPr>
            </w:pPr>
          </w:p>
        </w:tc>
      </w:tr>
      <w:tr>
        <w:trPr>
          <w:trHeight w:val="210"/>
        </w:trPr>
        <w:tc>
          <w:tcPr>
            <w:tcW w:w="56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69"/>
        </w:trPr>
        <w:tc>
          <w:tcPr>
            <w:tcW w:w="5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13,782,476</w:t>
            </w: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13,952,426</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13,852,947</w:t>
            </w:r>
          </w:p>
        </w:tc>
        <w:tc>
          <w:tcPr>
            <w:tcW w:w="2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13,970,317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14,311,575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14,329,878</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14,224,285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14,207,673</w:t>
            </w:r>
          </w:p>
        </w:tc>
        <w:tc>
          <w:tcPr>
            <w:tcW w:w="10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18"/>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 Share-based compensation expense in each category:</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FF0FC"/>
          </w:tcPr>
          <w:p>
            <w:pPr>
              <w:spacing w:after="0"/>
              <w:rPr>
                <w:sz w:val="14"/>
                <w:szCs w:val="14"/>
                <w:color w:val="auto"/>
              </w:rPr>
            </w:pPr>
          </w:p>
        </w:tc>
      </w:tr>
      <w:tr>
        <w:trPr>
          <w:trHeight w:val="162"/>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100" w:type="dxa"/>
            <w:vAlign w:val="bottom"/>
          </w:tcPr>
          <w:p>
            <w:pPr>
              <w:spacing w:after="0"/>
              <w:rPr>
                <w:sz w:val="14"/>
                <w:szCs w:val="14"/>
                <w:color w:val="auto"/>
              </w:rPr>
            </w:pPr>
          </w:p>
        </w:tc>
      </w:tr>
      <w:tr>
        <w:trPr>
          <w:trHeight w:val="195"/>
        </w:trPr>
        <w:tc>
          <w:tcPr>
            <w:tcW w:w="5620" w:type="dxa"/>
            <w:vAlign w:val="bottom"/>
            <w:tcBorders>
              <w:bottom w:val="single" w:sz="8" w:color="CFF0FC"/>
            </w:tcBorders>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1,657</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1,369</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4,452</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4,058</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-2416810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-2416810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-2416810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-2116455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-2116455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-2116455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-1816735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-1816735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-1816735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-1173480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-1156970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-1173480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-1156970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-1173480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-1156970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-856615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-839470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-856615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-839470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-856615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-839470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774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80" w:type="dxa"/>
            <w:vAlign w:val="bottom"/>
          </w:tcPr>
          <w:p>
            <w:pPr>
              <w:spacing w:after="0"/>
              <w:rPr>
                <w:sz w:val="19"/>
                <w:szCs w:val="19"/>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(10,308 )</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(1,647 )</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(2,183 )</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(617 )</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(407 )</w:t>
            </w: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(470 )</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(240 )</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(1,150 )</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(1,473 )</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(125 )</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(143 )</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(419 )</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(512 )</w:t>
            </w:r>
          </w:p>
        </w:tc>
      </w:tr>
      <w:tr>
        <w:trPr>
          <w:trHeight w:val="223"/>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280" w:type="dxa"/>
            <w:vAlign w:val="bottom"/>
            <w:tcBorders>
              <w:top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100" w:type="dxa"/>
            <w:vAlign w:val="bottom"/>
            <w:tcBorders>
              <w:top w:val="single" w:sz="8" w:color="CFF0FC"/>
            </w:tcBorders>
          </w:tcPr>
          <w:p>
            <w:pPr>
              <w:spacing w:after="0"/>
              <w:rPr>
                <w:sz w:val="19"/>
                <w:szCs w:val="19"/>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(152 )</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(7,118 )</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(6,921 )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(7,270 )</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(7,019 )</w:t>
            </w: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(431 )</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(197 )</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(5,853 )</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(1,251 )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(6,284 )</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(1,448 )</w:t>
            </w: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000" w:type="dxa"/>
            <w:vAlign w:val="bottom"/>
            <w:tcBorders>
              <w:top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8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2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00" w:type="dxa"/>
            <w:vAlign w:val="bottom"/>
            <w:tcBorders>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35,747</w:t>
            </w:r>
          </w:p>
        </w:tc>
        <w:tc>
          <w:tcPr>
            <w:tcW w:w="2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INFORMATION:</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Pr>
          <w:p>
            <w:pPr>
              <w:spacing w:after="0"/>
              <w:rPr>
                <w:sz w:val="19"/>
                <w:szCs w:val="19"/>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80" w:type="dxa"/>
            <w:vAlign w:val="bottom"/>
          </w:tcPr>
          <w:p>
            <w:pPr>
              <w:spacing w:after="0"/>
              <w:rPr>
                <w:sz w:val="19"/>
                <w:szCs w:val="19"/>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 -use assets obtained in exchange of operating lease liabilities</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FF0FC"/>
          </w:tcPr>
          <w:p>
            <w:pPr>
              <w:spacing w:after="0"/>
              <w:rPr>
                <w:sz w:val="19"/>
                <w:szCs w:val="19"/>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-2856865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-2856865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-2256790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-2256790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-1656715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-1656715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-1048385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-1031240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-1048385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-1031240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FCF. Adjusted EBITDA is a financial measure equal to net income, the most directly comparable financial measure based on GAAP, excluding interest income, net, income tax expense, depreciation and amortization, share-based compensation expense, litigation costs, and write-off of long-lived assets and others. We define adjusted EBITDA margin as adjusted EBITDA as a percentage of revenue. Adjusted net income is a non-GAAP financial measure equal to net income, the most directly comparable financial measure based on US GAAP, excluding share-based compensation expense, amortization of share-based compensation capitalized in intangible assets, and discrete tax items,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29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8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980" w:type="dxa"/>
            <w:vAlign w:val="bottom"/>
            <w:vMerge w:val="continue"/>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(353 )</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(346 )</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(1,032 )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(10,384 )</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(10,253 )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costs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 of long-lived assets and others</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26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9 %</w:t>
            </w:r>
          </w:p>
        </w:tc>
        <w:tc>
          <w:tcPr>
            <w:tcW w:w="32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79 %</w:t>
            </w:r>
          </w:p>
        </w:tc>
        <w:tc>
          <w:tcPr>
            <w:tcW w:w="24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35 %</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34 %</w:t>
            </w:r>
          </w:p>
        </w:tc>
        <w:tc>
          <w:tcPr>
            <w:tcW w:w="2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34 %</w:t>
            </w:r>
          </w:p>
        </w:tc>
        <w:tc>
          <w:tcPr>
            <w:tcW w:w="3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-813435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-813435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-813435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net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260" w:type="dxa"/>
            <w:vAlign w:val="bottom"/>
          </w:tcPr>
          <w:p>
            <w:pPr>
              <w:spacing w:after="0"/>
              <w:rPr>
                <w:sz w:val="16"/>
                <w:szCs w:val="16"/>
                <w:color w:val="auto"/>
              </w:rPr>
            </w:pPr>
          </w:p>
        </w:tc>
        <w:tc>
          <w:tcPr>
            <w:tcW w:w="29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980" w:type="dxa"/>
            <w:vAlign w:val="bottom"/>
            <w:vMerge w:val="continue"/>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9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share-based compensation</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Discrete tax items</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(10,272 )</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(10,272 )</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0"/>
              <w:spacing w:after="0" w:line="229" w:lineRule="exact"/>
              <w:rPr>
                <w:sz w:val="20"/>
                <w:szCs w:val="20"/>
                <w:color w:val="auto"/>
              </w:rPr>
            </w:pPr>
            <w:r>
              <w:rPr>
                <w:rFonts w:ascii="Times New Roman" w:cs="Times New Roman" w:eastAsia="Times New Roman" w:hAnsi="Times New Roman"/>
                <w:sz w:val="18"/>
                <w:szCs w:val="18"/>
                <w:color w:val="auto"/>
              </w:rPr>
              <w:t>Tax effect of adjustments</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(518 )</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(1,275 )</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(1,251 )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(1,275 )</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13,782,476</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13,952,426</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13,852,947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13,970,317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14,311,575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14,329,878</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14,224,285</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14,207,673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-1645285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-1645285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-1645285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-1002665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-985520</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-1002665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-985520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-1002665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-985520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-685165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-668020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-685165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-668020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-685165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right="80" w:hanging="372"/>
        <w:spacing w:after="0" w:line="266" w:lineRule="auto"/>
        <w:tabs>
          <w:tab w:leader="none" w:pos="3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2023, $10.3 million of income tax benefit was recognized as a result of the release of the valuation allowance previously recorded on our deferred tax asset and the cumulative research and development tax credit, which were excluded to calculate the adjusted net income.</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bookmarkStart w:id="9" w:name="page10"/>
    <w:bookmarkEnd w:id="9"/>
    <w:p>
      <w:pPr>
        <w:ind w:left="380" w:right="280" w:hanging="372"/>
        <w:spacing w:after="0" w:line="266" w:lineRule="auto"/>
        <w:tabs>
          <w:tab w:leader="none" w:pos="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adjustments is calculated using the expected federal and state statutory tax rate. The expected federal and state income tax rate was approximately 26.00% for the three and nine months ended September 30, 2024, and 25.75% for the three and nine months ended September 30,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29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8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980" w:type="dxa"/>
            <w:vAlign w:val="bottom"/>
            <w:vMerge w:val="continue"/>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(3,314 )</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(3,313 )</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(10,525 )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(9,732 )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(2,382 )</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(2,112 )</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(6,918 )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(5,965 )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38,181</w:t>
            </w: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45,099</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70 %</w:t>
            </w: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66 %</w:t>
            </w:r>
          </w:p>
        </w:tc>
        <w:tc>
          <w:tcPr>
            <w:tcW w:w="2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69 %</w:t>
            </w:r>
          </w:p>
        </w:tc>
        <w:tc>
          <w:tcPr>
            <w:tcW w:w="3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83 %</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79 %</w:t>
            </w:r>
          </w:p>
        </w:tc>
        <w:tc>
          <w:tcPr>
            <w:tcW w:w="2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81 %</w:t>
            </w:r>
          </w:p>
        </w:tc>
        <w:tc>
          <w:tcPr>
            <w:tcW w:w="3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-967740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-967740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-967740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-668020</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-668020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the most directly comparable US GAAP financial measure, to FCF: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29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980" w:type="dxa"/>
            <w:vAlign w:val="bottom"/>
            <w:vMerge w:val="continue"/>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(35 )</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(47 )</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(152 )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2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(2,380 )</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(2,412 )</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(7,118 )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(6,921 )</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-24765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8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excluding share-based compensation expense, and amortization of share-based compensation capitalized in intangible assets, and including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sectPr>
      </w:pPr>
    </w:p>
    <w:bookmarkStart w:id="10" w:name="page11"/>
    <w:bookmarkEnd w:id="10"/>
    <w:p>
      <w:pPr>
        <w:ind w:right="20"/>
        <w:spacing w:after="0" w:line="256" w:lineRule="auto"/>
        <w:rPr>
          <w:sz w:val="20"/>
          <w:szCs w:val="20"/>
          <w:color w:val="auto"/>
        </w:rPr>
      </w:pPr>
      <w:r>
        <w:rPr>
          <w:rFonts w:ascii="Times New Roman" w:cs="Times New Roman" w:eastAsia="Times New Roman" w:hAnsi="Times New Roman"/>
          <w:sz w:val="18"/>
          <w:szCs w:val="18"/>
          <w:color w:val="auto"/>
        </w:rPr>
        <w:t>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METRICS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460" w:type="dxa"/>
            <w:vAlign w:val="bottom"/>
            <w:vMerge w:val="continue"/>
          </w:tcPr>
          <w:p>
            <w:pPr>
              <w:spacing w:after="0"/>
              <w:rPr>
                <w:sz w:val="13"/>
                <w:szCs w:val="13"/>
                <w:color w:val="auto"/>
              </w:rPr>
            </w:pPr>
          </w:p>
        </w:tc>
        <w:tc>
          <w:tcPr>
            <w:tcW w:w="100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Q4'22</w:t>
            </w:r>
          </w:p>
        </w:tc>
        <w:tc>
          <w:tcPr>
            <w:tcW w:w="102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Q1'23</w:t>
            </w:r>
          </w:p>
        </w:tc>
        <w:tc>
          <w:tcPr>
            <w:tcW w:w="100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Q2'23</w:t>
            </w:r>
          </w:p>
        </w:tc>
        <w:tc>
          <w:tcPr>
            <w:tcW w:w="116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Q3'23</w:t>
            </w:r>
          </w:p>
        </w:tc>
        <w:tc>
          <w:tcPr>
            <w:tcW w:w="78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w w:val="94"/>
              </w:rPr>
              <w:t>Q4'23</w:t>
            </w:r>
          </w:p>
        </w:tc>
        <w:tc>
          <w:tcPr>
            <w:tcW w:w="96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Q1'24</w:t>
            </w:r>
          </w:p>
        </w:tc>
        <w:tc>
          <w:tcPr>
            <w:tcW w:w="96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Q2'24</w:t>
            </w:r>
          </w:p>
        </w:tc>
        <w:tc>
          <w:tcPr>
            <w:tcW w:w="740" w:type="dxa"/>
            <w:vAlign w:val="bottom"/>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Q3'24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EF0FC"/>
          </w:tcPr>
          <w:p>
            <w:pPr>
              <w:ind w:left="20"/>
              <w:spacing w:after="0"/>
              <w:rPr>
                <w:sz w:val="20"/>
                <w:szCs w:val="20"/>
                <w:color w:val="auto"/>
              </w:rPr>
            </w:pPr>
            <w:r>
              <w:rPr>
                <w:rFonts w:ascii="Times New Roman" w:cs="Times New Roman" w:eastAsia="Times New Roman" w:hAnsi="Times New Roman"/>
                <w:sz w:val="16"/>
                <w:szCs w:val="16"/>
                <w:b w:val="1"/>
                <w:bCs w:val="1"/>
                <w:color w:val="auto"/>
              </w:rPr>
              <w:t>Customer metrics</w:t>
            </w:r>
          </w:p>
        </w:tc>
        <w:tc>
          <w:tcPr>
            <w:tcW w:w="740" w:type="dxa"/>
            <w:vAlign w:val="bottom"/>
            <w:tcBorders>
              <w:top w:val="single" w:sz="8" w:color="auto"/>
            </w:tcBorders>
            <w:shd w:val="clear" w:color="auto" w:fill="CEF0FC"/>
          </w:tcPr>
          <w:p>
            <w:pPr>
              <w:spacing w:after="0"/>
              <w:rPr>
                <w:sz w:val="18"/>
                <w:szCs w:val="18"/>
                <w:color w:val="auto"/>
              </w:rPr>
            </w:pPr>
          </w:p>
        </w:tc>
        <w:tc>
          <w:tcPr>
            <w:tcW w:w="260" w:type="dxa"/>
            <w:vAlign w:val="bottom"/>
            <w:shd w:val="clear" w:color="auto" w:fill="CEF0FC"/>
          </w:tcPr>
          <w:p>
            <w:pPr>
              <w:spacing w:after="0"/>
              <w:rPr>
                <w:sz w:val="18"/>
                <w:szCs w:val="18"/>
                <w:color w:val="auto"/>
              </w:rPr>
            </w:pPr>
          </w:p>
        </w:tc>
        <w:tc>
          <w:tcPr>
            <w:tcW w:w="760" w:type="dxa"/>
            <w:vAlign w:val="bottom"/>
            <w:tcBorders>
              <w:top w:val="single" w:sz="8" w:color="auto"/>
            </w:tcBorders>
            <w:shd w:val="clear" w:color="auto" w:fill="CEF0FC"/>
          </w:tcPr>
          <w:p>
            <w:pPr>
              <w:spacing w:after="0"/>
              <w:rPr>
                <w:sz w:val="18"/>
                <w:szCs w:val="18"/>
                <w:color w:val="auto"/>
              </w:rPr>
            </w:pPr>
          </w:p>
        </w:tc>
        <w:tc>
          <w:tcPr>
            <w:tcW w:w="260" w:type="dxa"/>
            <w:vAlign w:val="bottom"/>
            <w:shd w:val="clear" w:color="auto" w:fill="CEF0FC"/>
          </w:tcPr>
          <w:p>
            <w:pPr>
              <w:spacing w:after="0"/>
              <w:rPr>
                <w:sz w:val="18"/>
                <w:szCs w:val="18"/>
                <w:color w:val="auto"/>
              </w:rPr>
            </w:pPr>
          </w:p>
        </w:tc>
        <w:tc>
          <w:tcPr>
            <w:tcW w:w="760" w:type="dxa"/>
            <w:vAlign w:val="bottom"/>
            <w:tcBorders>
              <w:top w:val="single" w:sz="8" w:color="auto"/>
            </w:tcBorders>
            <w:shd w:val="clear" w:color="auto" w:fill="CEF0FC"/>
          </w:tcPr>
          <w:p>
            <w:pPr>
              <w:spacing w:after="0"/>
              <w:rPr>
                <w:sz w:val="18"/>
                <w:szCs w:val="18"/>
                <w:color w:val="auto"/>
              </w:rPr>
            </w:pPr>
          </w:p>
        </w:tc>
        <w:tc>
          <w:tcPr>
            <w:tcW w:w="240" w:type="dxa"/>
            <w:vAlign w:val="bottom"/>
            <w:shd w:val="clear" w:color="auto" w:fill="CEF0FC"/>
          </w:tcPr>
          <w:p>
            <w:pPr>
              <w:spacing w:after="0"/>
              <w:rPr>
                <w:sz w:val="18"/>
                <w:szCs w:val="18"/>
                <w:color w:val="auto"/>
              </w:rPr>
            </w:pPr>
          </w:p>
        </w:tc>
        <w:tc>
          <w:tcPr>
            <w:tcW w:w="760" w:type="dxa"/>
            <w:vAlign w:val="bottom"/>
            <w:tcBorders>
              <w:top w:val="single" w:sz="8" w:color="auto"/>
            </w:tcBorders>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180" w:type="dxa"/>
            <w:vAlign w:val="bottom"/>
            <w:tcBorders>
              <w:top w:val="single" w:sz="8" w:color="auto"/>
            </w:tcBorders>
            <w:shd w:val="clear" w:color="auto" w:fill="CEF0FC"/>
          </w:tcPr>
          <w:p>
            <w:pPr>
              <w:spacing w:after="0"/>
              <w:rPr>
                <w:sz w:val="18"/>
                <w:szCs w:val="18"/>
                <w:color w:val="auto"/>
              </w:rPr>
            </w:pPr>
          </w:p>
        </w:tc>
        <w:tc>
          <w:tcPr>
            <w:tcW w:w="540" w:type="dxa"/>
            <w:vAlign w:val="bottom"/>
            <w:tcBorders>
              <w:top w:val="single" w:sz="8" w:color="auto"/>
            </w:tcBorders>
            <w:shd w:val="clear" w:color="auto" w:fill="CEF0FC"/>
          </w:tcPr>
          <w:p>
            <w:pPr>
              <w:spacing w:after="0"/>
              <w:rPr>
                <w:sz w:val="18"/>
                <w:szCs w:val="18"/>
                <w:color w:val="auto"/>
              </w:rPr>
            </w:pPr>
          </w:p>
        </w:tc>
        <w:tc>
          <w:tcPr>
            <w:tcW w:w="240" w:type="dxa"/>
            <w:vAlign w:val="bottom"/>
            <w:shd w:val="clear" w:color="auto" w:fill="CEF0FC"/>
          </w:tcPr>
          <w:p>
            <w:pPr>
              <w:spacing w:after="0"/>
              <w:rPr>
                <w:sz w:val="18"/>
                <w:szCs w:val="18"/>
                <w:color w:val="auto"/>
              </w:rPr>
            </w:pPr>
          </w:p>
        </w:tc>
        <w:tc>
          <w:tcPr>
            <w:tcW w:w="720" w:type="dxa"/>
            <w:vAlign w:val="bottom"/>
            <w:tcBorders>
              <w:top w:val="single" w:sz="8" w:color="auto"/>
            </w:tcBorders>
            <w:shd w:val="clear" w:color="auto" w:fill="CEF0FC"/>
          </w:tcPr>
          <w:p>
            <w:pPr>
              <w:spacing w:after="0"/>
              <w:rPr>
                <w:sz w:val="18"/>
                <w:szCs w:val="18"/>
                <w:color w:val="auto"/>
              </w:rPr>
            </w:pPr>
          </w:p>
        </w:tc>
        <w:tc>
          <w:tcPr>
            <w:tcW w:w="240" w:type="dxa"/>
            <w:vAlign w:val="bottom"/>
            <w:shd w:val="clear" w:color="auto" w:fill="CEF0FC"/>
          </w:tcPr>
          <w:p>
            <w:pPr>
              <w:spacing w:after="0"/>
              <w:rPr>
                <w:sz w:val="18"/>
                <w:szCs w:val="18"/>
                <w:color w:val="auto"/>
              </w:rPr>
            </w:pPr>
          </w:p>
        </w:tc>
        <w:tc>
          <w:tcPr>
            <w:tcW w:w="720" w:type="dxa"/>
            <w:vAlign w:val="bottom"/>
            <w:tcBorders>
              <w:top w:val="single" w:sz="8" w:color="auto"/>
            </w:tcBorders>
            <w:shd w:val="clear" w:color="auto" w:fill="CEF0FC"/>
          </w:tcPr>
          <w:p>
            <w:pPr>
              <w:spacing w:after="0"/>
              <w:rPr>
                <w:sz w:val="18"/>
                <w:szCs w:val="18"/>
                <w:color w:val="auto"/>
              </w:rPr>
            </w:pPr>
          </w:p>
        </w:tc>
        <w:tc>
          <w:tcPr>
            <w:tcW w:w="240" w:type="dxa"/>
            <w:vAlign w:val="bottom"/>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line="216" w:lineRule="exact"/>
              <w:rPr>
                <w:sz w:val="20"/>
                <w:szCs w:val="20"/>
                <w:color w:val="auto"/>
              </w:rPr>
            </w:pPr>
            <w:r>
              <w:rPr>
                <w:rFonts w:ascii="Times New Roman" w:cs="Times New Roman" w:eastAsia="Times New Roman" w:hAnsi="Times New Roman"/>
                <w:sz w:val="16"/>
                <w:szCs w:val="16"/>
                <w:color w:val="auto"/>
              </w:rPr>
              <w:t>IDI - billable customers</w:t>
            </w:r>
            <w:r>
              <w:rPr>
                <w:rFonts w:ascii="Times New Roman" w:cs="Times New Roman" w:eastAsia="Times New Roman" w:hAnsi="Times New Roman"/>
                <w:sz w:val="21"/>
                <w:szCs w:val="21"/>
                <w:color w:val="auto"/>
                <w:vertAlign w:val="superscript"/>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8,241</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EF0FC"/>
          </w:tcPr>
          <w:p>
            <w:pPr>
              <w:ind w:left="100"/>
              <w:spacing w:after="0" w:line="216" w:lineRule="exact"/>
              <w:rPr>
                <w:sz w:val="20"/>
                <w:szCs w:val="20"/>
                <w:color w:val="auto"/>
              </w:rPr>
            </w:pPr>
            <w:r>
              <w:rPr>
                <w:rFonts w:ascii="Times New Roman" w:cs="Times New Roman" w:eastAsia="Times New Roman" w:hAnsi="Times New Roman"/>
                <w:sz w:val="16"/>
                <w:szCs w:val="16"/>
                <w:color w:val="auto"/>
              </w:rPr>
              <w:t>FOREWARN - users</w:t>
            </w:r>
            <w:r>
              <w:rPr>
                <w:rFonts w:ascii="Times New Roman" w:cs="Times New Roman" w:eastAsia="Times New Roman" w:hAnsi="Times New Roman"/>
                <w:sz w:val="21"/>
                <w:szCs w:val="21"/>
                <w:color w:val="auto"/>
                <w:vertAlign w:val="superscript"/>
              </w:rPr>
              <w:t>(2)</w:t>
            </w: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116,960</w:t>
            </w:r>
          </w:p>
        </w:tc>
        <w:tc>
          <w:tcPr>
            <w:tcW w:w="260" w:type="dxa"/>
            <w:vAlign w:val="bottom"/>
            <w:shd w:val="clear" w:color="auto" w:fill="CEF0FC"/>
          </w:tcPr>
          <w:p>
            <w:pPr>
              <w:spacing w:after="0"/>
              <w:rPr>
                <w:sz w:val="18"/>
                <w:szCs w:val="18"/>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131,348</w:t>
            </w:r>
          </w:p>
        </w:tc>
        <w:tc>
          <w:tcPr>
            <w:tcW w:w="260" w:type="dxa"/>
            <w:vAlign w:val="bottom"/>
            <w:shd w:val="clear" w:color="auto" w:fill="CEF0FC"/>
          </w:tcPr>
          <w:p>
            <w:pPr>
              <w:spacing w:after="0"/>
              <w:rPr>
                <w:sz w:val="18"/>
                <w:szCs w:val="18"/>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146,537</w:t>
            </w:r>
          </w:p>
        </w:tc>
        <w:tc>
          <w:tcPr>
            <w:tcW w:w="240" w:type="dxa"/>
            <w:vAlign w:val="bottom"/>
            <w:shd w:val="clear" w:color="auto" w:fill="CEF0FC"/>
          </w:tcPr>
          <w:p>
            <w:pPr>
              <w:spacing w:after="0"/>
              <w:rPr>
                <w:sz w:val="18"/>
                <w:szCs w:val="18"/>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168,356</w:t>
            </w:r>
          </w:p>
        </w:tc>
        <w:tc>
          <w:tcPr>
            <w:tcW w:w="22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5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185,380</w:t>
            </w:r>
          </w:p>
        </w:tc>
        <w:tc>
          <w:tcPr>
            <w:tcW w:w="240" w:type="dxa"/>
            <w:vAlign w:val="bottom"/>
            <w:shd w:val="clear" w:color="auto" w:fill="CEF0FC"/>
          </w:tcPr>
          <w:p>
            <w:pPr>
              <w:spacing w:after="0"/>
              <w:rPr>
                <w:sz w:val="18"/>
                <w:szCs w:val="18"/>
                <w:color w:val="auto"/>
              </w:rPr>
            </w:pPr>
          </w:p>
        </w:tc>
        <w:tc>
          <w:tcPr>
            <w:tcW w:w="7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236,639</w:t>
            </w:r>
          </w:p>
        </w:tc>
        <w:tc>
          <w:tcPr>
            <w:tcW w:w="240" w:type="dxa"/>
            <w:vAlign w:val="bottom"/>
            <w:shd w:val="clear" w:color="auto" w:fill="CEF0FC"/>
          </w:tcPr>
          <w:p>
            <w:pPr>
              <w:spacing w:after="0"/>
              <w:rPr>
                <w:sz w:val="18"/>
                <w:szCs w:val="18"/>
                <w:color w:val="auto"/>
              </w:rPr>
            </w:pPr>
          </w:p>
        </w:tc>
        <w:tc>
          <w:tcPr>
            <w:tcW w:w="7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263,876</w:t>
            </w:r>
          </w:p>
        </w:tc>
        <w:tc>
          <w:tcPr>
            <w:tcW w:w="24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284,967</w:t>
            </w:r>
          </w:p>
        </w:tc>
        <w:tc>
          <w:tcPr>
            <w:tcW w:w="16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 metrics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EF0FC"/>
          </w:tcPr>
          <w:p>
            <w:pPr>
              <w:ind w:left="100"/>
              <w:spacing w:after="0" w:line="218" w:lineRule="exact"/>
              <w:rPr>
                <w:sz w:val="20"/>
                <w:szCs w:val="20"/>
                <w:color w:val="auto"/>
              </w:rPr>
            </w:pPr>
            <w:r>
              <w:rPr>
                <w:rFonts w:ascii="Times New Roman" w:cs="Times New Roman" w:eastAsia="Times New Roman" w:hAnsi="Times New Roman"/>
                <w:sz w:val="16"/>
                <w:szCs w:val="16"/>
                <w:color w:val="auto"/>
              </w:rPr>
              <w:t>Contractual revenue %</w:t>
            </w:r>
            <w:r>
              <w:rPr>
                <w:rFonts w:ascii="Times New Roman" w:cs="Times New Roman" w:eastAsia="Times New Roman" w:hAnsi="Times New Roman"/>
                <w:sz w:val="21"/>
                <w:szCs w:val="21"/>
                <w:color w:val="auto"/>
                <w:vertAlign w:val="superscript"/>
              </w:rPr>
              <w:t>(3)</w:t>
            </w:r>
          </w:p>
        </w:tc>
        <w:tc>
          <w:tcPr>
            <w:tcW w:w="1000" w:type="dxa"/>
            <w:vAlign w:val="bottom"/>
            <w:gridSpan w:val="2"/>
            <w:shd w:val="clear" w:color="auto" w:fill="CEF0FC"/>
          </w:tcPr>
          <w:p>
            <w:pPr>
              <w:jc w:val="right"/>
              <w:ind w:right="100"/>
              <w:spacing w:after="0"/>
              <w:rPr>
                <w:sz w:val="20"/>
                <w:szCs w:val="20"/>
                <w:color w:val="auto"/>
              </w:rPr>
            </w:pPr>
            <w:r>
              <w:rPr>
                <w:rFonts w:ascii="Times New Roman" w:cs="Times New Roman" w:eastAsia="Times New Roman" w:hAnsi="Times New Roman"/>
                <w:sz w:val="16"/>
                <w:szCs w:val="16"/>
                <w:color w:val="auto"/>
              </w:rPr>
              <w:t>77 %</w:t>
            </w:r>
          </w:p>
        </w:tc>
        <w:tc>
          <w:tcPr>
            <w:tcW w:w="102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75 %</w:t>
            </w:r>
          </w:p>
        </w:tc>
        <w:tc>
          <w:tcPr>
            <w:tcW w:w="1000" w:type="dxa"/>
            <w:vAlign w:val="bottom"/>
            <w:gridSpan w:val="2"/>
            <w:shd w:val="clear" w:color="auto" w:fill="CEF0FC"/>
          </w:tcPr>
          <w:p>
            <w:pPr>
              <w:jc w:val="right"/>
              <w:ind w:right="100"/>
              <w:spacing w:after="0"/>
              <w:rPr>
                <w:sz w:val="20"/>
                <w:szCs w:val="20"/>
                <w:color w:val="auto"/>
              </w:rPr>
            </w:pPr>
            <w:r>
              <w:rPr>
                <w:rFonts w:ascii="Times New Roman" w:cs="Times New Roman" w:eastAsia="Times New Roman" w:hAnsi="Times New Roman"/>
                <w:sz w:val="16"/>
                <w:szCs w:val="16"/>
                <w:color w:val="auto"/>
              </w:rPr>
              <w:t>79 %</w:t>
            </w:r>
          </w:p>
        </w:tc>
        <w:tc>
          <w:tcPr>
            <w:tcW w:w="980" w:type="dxa"/>
            <w:vAlign w:val="bottom"/>
            <w:gridSpan w:val="2"/>
            <w:shd w:val="clear" w:color="auto" w:fill="CEF0FC"/>
          </w:tcPr>
          <w:p>
            <w:pPr>
              <w:jc w:val="right"/>
              <w:ind w:right="80"/>
              <w:spacing w:after="0"/>
              <w:rPr>
                <w:sz w:val="20"/>
                <w:szCs w:val="20"/>
                <w:color w:val="auto"/>
              </w:rPr>
            </w:pPr>
            <w:r>
              <w:rPr>
                <w:rFonts w:ascii="Times New Roman" w:cs="Times New Roman" w:eastAsia="Times New Roman" w:hAnsi="Times New Roman"/>
                <w:sz w:val="16"/>
                <w:szCs w:val="16"/>
                <w:color w:val="auto"/>
              </w:rPr>
              <w:t>79 %</w:t>
            </w:r>
          </w:p>
        </w:tc>
        <w:tc>
          <w:tcPr>
            <w:tcW w:w="180" w:type="dxa"/>
            <w:vAlign w:val="bottom"/>
            <w:shd w:val="clear" w:color="auto" w:fill="CEF0FC"/>
          </w:tcPr>
          <w:p>
            <w:pPr>
              <w:spacing w:after="0"/>
              <w:rPr>
                <w:sz w:val="18"/>
                <w:szCs w:val="18"/>
                <w:color w:val="auto"/>
              </w:rPr>
            </w:pPr>
          </w:p>
        </w:tc>
        <w:tc>
          <w:tcPr>
            <w:tcW w:w="780" w:type="dxa"/>
            <w:vAlign w:val="bottom"/>
            <w:gridSpan w:val="2"/>
            <w:shd w:val="clear" w:color="auto" w:fill="CEF0FC"/>
          </w:tcPr>
          <w:p>
            <w:pPr>
              <w:jc w:val="right"/>
              <w:ind w:right="80"/>
              <w:spacing w:after="0"/>
              <w:rPr>
                <w:sz w:val="20"/>
                <w:szCs w:val="20"/>
                <w:color w:val="auto"/>
              </w:rPr>
            </w:pPr>
            <w:r>
              <w:rPr>
                <w:rFonts w:ascii="Times New Roman" w:cs="Times New Roman" w:eastAsia="Times New Roman" w:hAnsi="Times New Roman"/>
                <w:sz w:val="16"/>
                <w:szCs w:val="16"/>
                <w:color w:val="auto"/>
              </w:rPr>
              <w:t>82 %</w:t>
            </w:r>
          </w:p>
        </w:tc>
        <w:tc>
          <w:tcPr>
            <w:tcW w:w="960" w:type="dxa"/>
            <w:vAlign w:val="bottom"/>
            <w:gridSpan w:val="2"/>
            <w:shd w:val="clear" w:color="auto" w:fill="CEF0FC"/>
          </w:tcPr>
          <w:p>
            <w:pPr>
              <w:jc w:val="right"/>
              <w:ind w:right="80"/>
              <w:spacing w:after="0"/>
              <w:rPr>
                <w:sz w:val="20"/>
                <w:szCs w:val="20"/>
                <w:color w:val="auto"/>
              </w:rPr>
            </w:pPr>
            <w:r>
              <w:rPr>
                <w:rFonts w:ascii="Times New Roman" w:cs="Times New Roman" w:eastAsia="Times New Roman" w:hAnsi="Times New Roman"/>
                <w:sz w:val="16"/>
                <w:szCs w:val="16"/>
                <w:color w:val="auto"/>
              </w:rPr>
              <w:t>78 %</w:t>
            </w:r>
          </w:p>
        </w:tc>
        <w:tc>
          <w:tcPr>
            <w:tcW w:w="960" w:type="dxa"/>
            <w:vAlign w:val="bottom"/>
            <w:gridSpan w:val="2"/>
            <w:shd w:val="clear" w:color="auto" w:fill="CEF0FC"/>
          </w:tcPr>
          <w:p>
            <w:pPr>
              <w:jc w:val="right"/>
              <w:ind w:right="80"/>
              <w:spacing w:after="0"/>
              <w:rPr>
                <w:sz w:val="20"/>
                <w:szCs w:val="20"/>
                <w:color w:val="auto"/>
              </w:rPr>
            </w:pPr>
            <w:r>
              <w:rPr>
                <w:rFonts w:ascii="Times New Roman" w:cs="Times New Roman" w:eastAsia="Times New Roman" w:hAnsi="Times New Roman"/>
                <w:sz w:val="16"/>
                <w:szCs w:val="16"/>
                <w:color w:val="auto"/>
              </w:rPr>
              <w:t>74 %</w:t>
            </w:r>
          </w:p>
        </w:tc>
        <w:tc>
          <w:tcPr>
            <w:tcW w:w="900" w:type="dxa"/>
            <w:vAlign w:val="bottom"/>
            <w:gridSpan w:val="2"/>
            <w:shd w:val="clear" w:color="auto" w:fill="CEF0FC"/>
          </w:tcPr>
          <w:p>
            <w:pPr>
              <w:jc w:val="right"/>
              <w:ind w:right="20"/>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00"/>
        </w:trPr>
        <w:tc>
          <w:tcPr>
            <w:tcW w:w="3460" w:type="dxa"/>
            <w:vAlign w:val="bottom"/>
          </w:tcPr>
          <w:p>
            <w:pPr>
              <w:ind w:left="100"/>
              <w:spacing w:after="0" w:line="200" w:lineRule="exact"/>
              <w:rPr>
                <w:sz w:val="20"/>
                <w:szCs w:val="20"/>
                <w:color w:val="auto"/>
              </w:rPr>
            </w:pPr>
            <w:r>
              <w:rPr>
                <w:rFonts w:ascii="Times New Roman" w:cs="Times New Roman" w:eastAsia="Times New Roman" w:hAnsi="Times New Roman"/>
                <w:sz w:val="16"/>
                <w:szCs w:val="16"/>
                <w:color w:val="auto"/>
              </w:rPr>
              <w:t>Gross revenue retention %</w:t>
            </w:r>
            <w:r>
              <w:rPr>
                <w:rFonts w:ascii="Times New Roman" w:cs="Times New Roman" w:eastAsia="Times New Roman" w:hAnsi="Times New Roman"/>
                <w:sz w:val="21"/>
                <w:szCs w:val="21"/>
                <w:color w:val="auto"/>
                <w:vertAlign w:val="superscript"/>
              </w:rPr>
              <w:t>(4)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95 %</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94 %</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94 %</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22"/>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metrics</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60" w:type="dxa"/>
            <w:vAlign w:val="bottom"/>
            <w:shd w:val="clear" w:color="auto" w:fill="CEF0FC"/>
          </w:tcPr>
          <w:p>
            <w:pPr>
              <w:ind w:left="100"/>
              <w:spacing w:after="0"/>
              <w:rPr>
                <w:sz w:val="20"/>
                <w:szCs w:val="20"/>
                <w:color w:val="auto"/>
              </w:rPr>
            </w:pPr>
            <w:r>
              <w:rPr>
                <w:rFonts w:ascii="Times New Roman" w:cs="Times New Roman" w:eastAsia="Times New Roman" w:hAnsi="Times New Roman"/>
                <w:sz w:val="16"/>
                <w:szCs w:val="16"/>
                <w:color w:val="auto"/>
              </w:rPr>
              <w:t>Employees - sales and marketing</w:t>
            </w: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5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4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6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Employees - support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EF0FC"/>
          </w:tcPr>
          <w:p>
            <w:pPr>
              <w:ind w:left="100"/>
              <w:spacing w:after="0"/>
              <w:rPr>
                <w:sz w:val="20"/>
                <w:szCs w:val="20"/>
                <w:color w:val="auto"/>
              </w:rPr>
            </w:pPr>
            <w:r>
              <w:rPr>
                <w:rFonts w:ascii="Times New Roman" w:cs="Times New Roman" w:eastAsia="Times New Roman" w:hAnsi="Times New Roman"/>
                <w:sz w:val="16"/>
                <w:szCs w:val="16"/>
                <w:color w:val="auto"/>
              </w:rPr>
              <w:t>Employees - infrastructure</w:t>
            </w: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5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Employees - engineering</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EF0FC"/>
          </w:tcPr>
          <w:p>
            <w:pPr>
              <w:ind w:left="100"/>
              <w:spacing w:after="0"/>
              <w:rPr>
                <w:sz w:val="20"/>
                <w:szCs w:val="20"/>
                <w:color w:val="auto"/>
              </w:rPr>
            </w:pPr>
            <w:r>
              <w:rPr>
                <w:rFonts w:ascii="Times New Roman" w:cs="Times New Roman" w:eastAsia="Times New Roman" w:hAnsi="Times New Roman"/>
                <w:sz w:val="16"/>
                <w:szCs w:val="16"/>
                <w:color w:val="auto"/>
              </w:rPr>
              <w:t>Employees - administration</w:t>
            </w: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5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0" w:right="260" w:hanging="372"/>
        <w:spacing w:after="0" w:line="266" w:lineRule="auto"/>
        <w:tabs>
          <w:tab w:leader="none" w:pos="3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67" w:lineRule="exact"/>
        <w:rPr>
          <w:rFonts w:ascii="Times New Roman" w:cs="Times New Roman" w:eastAsia="Times New Roman" w:hAnsi="Times New Roman"/>
          <w:sz w:val="18"/>
          <w:szCs w:val="18"/>
          <w:color w:val="auto"/>
        </w:rPr>
      </w:pPr>
    </w:p>
    <w:p>
      <w:pPr>
        <w:ind w:left="380" w:right="120" w:hanging="372"/>
        <w:spacing w:after="0" w:line="282" w:lineRule="auto"/>
        <w:tabs>
          <w:tab w:leader="none" w:pos="3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 user of FOREWARN as a unique person that has a subscription to use the FOREWARN service as of the last day of the period. A unique person can only have one user account.</w:t>
      </w:r>
    </w:p>
    <w:p>
      <w:pPr>
        <w:spacing w:after="0" w:line="53" w:lineRule="exact"/>
        <w:rPr>
          <w:rFonts w:ascii="Times New Roman" w:cs="Times New Roman" w:eastAsia="Times New Roman" w:hAnsi="Times New Roman"/>
          <w:sz w:val="18"/>
          <w:szCs w:val="18"/>
          <w:color w:val="auto"/>
        </w:rPr>
      </w:pPr>
    </w:p>
    <w:p>
      <w:pPr>
        <w:ind w:left="380" w:right="600" w:hanging="372"/>
        <w:spacing w:after="0" w:line="282" w:lineRule="auto"/>
        <w:tabs>
          <w:tab w:leader="none" w:pos="3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53" w:lineRule="exact"/>
        <w:rPr>
          <w:rFonts w:ascii="Times New Roman" w:cs="Times New Roman" w:eastAsia="Times New Roman" w:hAnsi="Times New Roman"/>
          <w:sz w:val="18"/>
          <w:szCs w:val="18"/>
          <w:color w:val="auto"/>
        </w:rPr>
      </w:pPr>
    </w:p>
    <w:p>
      <w:pPr>
        <w:ind w:left="380" w:right="80" w:hanging="372"/>
        <w:spacing w:after="0" w:line="255" w:lineRule="auto"/>
        <w:tabs>
          <w:tab w:leader="none" w:pos="3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revenue retention is defined as the revenue retained from existing customers, net of reinstated revenue, and excluding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Gross revenue retention percentage is calculated on a trailing twelve-month basis. The numerator of which is revenue lost during the period due to attrition, net of reinstated revenue, and the denominator of which is total revenue based on an average of total revenue at the beginning of each month during the period, with the quotient subtracted from one. Our gross revenue retention calculation excludes revenue from idiVERIFIED, which is purely transactional and currently represents less than 3% of total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 Violet, Inc. (NASDAQ: RDVT)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Third Quarter 2024 Earnings Results Conference Call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Participants: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Camilo Ramirez, Senior Vice President, Finance and Investor Relations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Derek Dubner, Chairman and Chief Executive Officer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Dan MacLachlan,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Operator:</w:t>
      </w:r>
    </w:p>
    <w:p>
      <w:pPr>
        <w:spacing w:after="0" w:line="237"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Good day ladies and gentlemen, and welcome to red violet’s third quarter 2024 earnings conference call. At this time, all participants are in a listen only mode. Later we will conduct a question and answer session and instructions will follow at that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reminder this call is being recorded.</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I would now like to introduce your host for today’s conference Camilo Ramirez, Senior Vice President, Finance and Investor Relations. Please go ahead.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Camilo Ramirez:</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Good afternoon and welcome. Thank you for joining us today to discuss our third quarter 2024 financial results.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me today is Derek Dubner, our Chairman and Chief Executive Officer, and Dan MacLachlan, our Chief Financial Officer.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call today will begin with comments from Derek and Dan, followed by a question and answer session.</w:t>
      </w:r>
    </w:p>
    <w:p>
      <w:pPr>
        <w:spacing w:after="0" w:line="2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1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w:t>
      </w:r>
    </w:p>
    <w:p>
      <w:pPr>
        <w:spacing w:after="0" w:line="1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4"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Securities and Exchange Commission, including the most recent Annual Report on Form 10-K and the subsequent 10-Qs.</w:t>
      </w:r>
    </w:p>
    <w:p>
      <w:pPr>
        <w:spacing w:after="0" w:line="233"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During the call, we may present certain non-GAAP financial information relating to adjusted gross profit, adjusted gross margin, adjusted EBITDA, adjusted EBITDA margin, adjusted net income, adjusted earnings per share, and free cash flow. Reconciliations of these non-GAAP financial measures to their most directly comparable US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that, I am pleased to introduce red violet’s Chairman and Chief Executive Officer, Derek Dubner.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23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Thanks Camilo. Good afternoon and welcome to those joining us today to discuss our third quarter 2024 results. Following a very strong first half of the year, we are pleased to deliver another record quarter across various financial metrics. We generated record revenue, gross profit, and cash flow in the third quarter. Our performance underscores the strength of our business and the commitment of our exceptional team. It was yet another quarter of strong new customer onboarding and growth from our existing customer base, with balanced transaction volume increases across verticals. Given our continued investment in the business, driven by strong customer demand generating record cash flows, we remain very well positioned to close out a record 2024 and to drive accelerated growth in 2025.</w:t>
      </w:r>
    </w:p>
    <w:p>
      <w:pPr>
        <w:spacing w:after="0" w:line="21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Revenue for the quarter was up 20% to a record $19.1 million, producing a record adjusted gross profit of $15.7 million and record margin of 83%. Adjusted EBITDA for the quarter was up 25% to $6.7 million, producing an adjusted EBITDA margin of 35%. Adjusted net income increased 23% to $3.1 million for the quarter, resulting in adjusted earnings of 22 cents per diluted share. We generated a record $4.8 million in free cash flow in the quarter.</w:t>
      </w:r>
    </w:p>
    <w:p>
      <w:pPr>
        <w:spacing w:after="0" w:line="20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Within IDI, we added 266 customers sequentially from the second quarter, reflecting strong demand across our verticals. Revenue growth remains robust, led by our Investigative vertical on a percentage basis and closely followed by Emerging Markets and our Financial and Corporate Risk verticals, each achieving impressive double-digit growth in the third quarter. Our Collections vertical continues to demonstrate encouraging signs of a durable recovery. Favorable factors such as asset appreciation and low unemployment are supporting consumers and driving transaction volumes across many of our verticals, while lower-income consumers face ongoing challenges from inflation, high interest rates, and the depletion of government subsidies, which, in turn, lends support to our Collections and other related verticals. Given the current economic landscape and anticipated interest rate reductions, barring unforeseen circumstances, we expect this favorable environment to continue benefiting our business through the remainder of the year and throughout 2025.</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3" w:name="page14"/>
    <w:bookmarkEnd w:id="13"/>
    <w:p>
      <w:pPr>
        <w:ind w:right="320"/>
        <w:spacing w:after="0" w:line="282" w:lineRule="auto"/>
        <w:rPr>
          <w:sz w:val="20"/>
          <w:szCs w:val="20"/>
          <w:color w:val="auto"/>
        </w:rPr>
      </w:pPr>
      <w:r>
        <w:rPr>
          <w:rFonts w:ascii="Times New Roman" w:cs="Times New Roman" w:eastAsia="Times New Roman" w:hAnsi="Times New Roman"/>
          <w:sz w:val="21"/>
          <w:szCs w:val="21"/>
          <w:color w:val="auto"/>
        </w:rPr>
        <w:t>FOREWARN continues to solidify its position as the leading proactive safety tool for face-to-face engagement. FOREWARN added 21,091 users during the quarter. Over 500 Realtor® Associations are now contracted to use FOREWARN.</w:t>
      </w:r>
    </w:p>
    <w:p>
      <w:pPr>
        <w:spacing w:after="0" w:line="16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Our achievements year to date have enabled us to strategically invest in our business throughout the year, continuing to execute upon our product roadmap and enhance our go-to-market strategies. After adding thirteen team members in the second quarter, we again added another thirteen team members in the third quarter, with emphasis on various sales and marketing capabilities. Notwithstanding the continued investment in the business, due to the operational leverage of our business model, we still produced record free cash flow, adding approximately $5 million of cash to the balance sheet sequentially from the second quarter. Given the continued momentum we are seeing in the business, we are optimistic that we will close out a record 2024 and drive continued momentum throughout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I will turn it over to Dan to discuss the financials.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 MacLachlan</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Thank you, Derek, and good afternoon. We had another great quarter, hitting new records for revenue, gross profit and free cash flow. We continue to see strong growth from new customer onboarding and increased volume within the existing customer base. Revenue increased 20% to a record $19.1 million, producing $6.7 million in adjusted EBITDA with a margin of 35% in the third quarter. To date, 2024 has been a great year across the board, hitting record revenue milestones in each quarter and driving strong profitability and cash flow, all while continuing to invest in the business, including our go-to-market strategy.</w:t>
      </w:r>
    </w:p>
    <w:p>
      <w:pPr>
        <w:spacing w:after="0" w:line="19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Turning now to our third quarter results, for clarity, all the comparisons I will discuss today will be against the third quarter of 2023, unless noted otherwise.</w:t>
      </w:r>
    </w:p>
    <w:p>
      <w:pPr>
        <w:spacing w:after="0" w:line="18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1"/>
          <w:szCs w:val="21"/>
          <w:color w:val="auto"/>
        </w:rPr>
        <w:t>Total revenue was a record $19.1 million, a 20% increase over prior year. We produced a record $15.7 million in adjusted gross profit, resulting in a record adjusted gross margin of 83% in the third quarter, up 4-percentage points. Adjusted EBITDA for the quarter was $6.7 million, up 25% over prior year. Adjusted EBITDA margin was 35%, up 1-percentage point. Adjusted net income increased 23% to $3.1 million for the quarter, resulting in adjusted earnings of 22 cents per diluted share.</w:t>
      </w:r>
    </w:p>
    <w:p>
      <w:pPr>
        <w:spacing w:after="0" w:line="189"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Moving through the details of our P&amp;L, as mentioned, revenue was $19.1 million for the third quarter. I would note that this is an increase of $1.0 million sequentially from the second quarter when you exclude the one-time transactional revenue customer win that we discussed last quarter. There was no material one-time transactional revenue in the third quarter.</w:t>
      </w:r>
    </w:p>
    <w:p>
      <w:pPr>
        <w:spacing w:after="0" w:line="200"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22"/>
          <w:szCs w:val="22"/>
          <w:color w:val="auto"/>
        </w:rPr>
        <w:t>Within IDI, we continue to see strong growth across verticals. Our Investigative vertical continues to outperform, led by Law Enforcement which had its eleventh consecutive quarter of sequential revenue growth. Within our Emerging Markets vertical, we continue to see strong double-digit revenue growth across industries, including Retail, Repossession, Legal, Healthcare, and Government. We also experienced strong double-digit revenue growth within our Financial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 w:name="page15"/>
    <w:bookmarkEnd w:id="14"/>
    <w:p>
      <w:pPr>
        <w:spacing w:after="0" w:line="239" w:lineRule="auto"/>
        <w:rPr>
          <w:sz w:val="20"/>
          <w:szCs w:val="20"/>
          <w:color w:val="auto"/>
        </w:rPr>
      </w:pPr>
      <w:r>
        <w:rPr>
          <w:rFonts w:ascii="Times New Roman" w:cs="Times New Roman" w:eastAsia="Times New Roman" w:hAnsi="Times New Roman"/>
          <w:sz w:val="22"/>
          <w:szCs w:val="22"/>
          <w:color w:val="auto"/>
        </w:rPr>
        <w:t>and Corporate Risk vertical, with both the Insurance and Financial industries being key contributors to the growth. Our Collections vertical had its third consecutive quarter of double-digit revenue growth as we continue to see signs of recovery in the Collections industry. IDI’s Real Estate vertical, which does not include FOREWARN, was down approximately 10% in the third quarter.</w:t>
      </w:r>
    </w:p>
    <w:p>
      <w:pPr>
        <w:spacing w:after="0" w:line="207"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As it relates to FOREWARN, we experienced another quarter of strong revenue growth. This is FOREWARN’s eighteenth consecutive quarter of sequential revenue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contractual revenue was 77% for the quarter, down 2-percentage points from prior year.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gross revenue retention percentage remained unchanged at 94%.</w:t>
      </w:r>
    </w:p>
    <w:p>
      <w:pPr>
        <w:spacing w:after="0" w:line="23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Moving back to the P&amp;L, our cost of revenue (exclusive of depreciation and amortization) remained flat at $3.3 million. Adjusted gross profit increased 26% to $15.7 million, producing an adjusted gross margin of 83%, a 4-percentage point increase from prior year.</w:t>
      </w:r>
    </w:p>
    <w:p>
      <w:pPr>
        <w:spacing w:after="0" w:line="20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Sales and marketing expenses increased $1.4 million or 43% to $4.8 million for the quarter. This increase was due primarily to an increase in salaries and benefits from the additional employees added to our sales and marketing team, and the increase in sales commissions.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and administrative expenses increased $0.8 million or 15% to $6.0 million for the quarter.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Depreciation and amortization increased $0.2 million or 12% to $2.4 million for the quarter.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income before taxes increased $0.8 million or 35% to $2.9 million.</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Our net income for the quarter decreased $10.8 million or 86% to $1.7 million, which produced earnings of 12 cents per diluted share. Note, prior year third quarter included a one-time deferred income tax benefit of $10.3 million.</w:t>
      </w:r>
    </w:p>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Adjusted net income for the quarter increased $0.6 million or 23% to $3.2 million, which produced adjusted earnings of 22 cents per diluted share.</w:t>
      </w:r>
    </w:p>
    <w:p>
      <w:pPr>
        <w:spacing w:after="0" w:line="18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Moving on to the balance sheet. Cash and cash equivalents were $35.7 million at September 30, 2024, compared to $32.0 million at December 31, 2023. Current assets were $45.9million compared to $40.3 million and current liabilities were $4.6 million compared to $4.9 million.</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We generated a record $7.2 million in cash from operating activities in the third quarter, compared to generating $5.8 million for the same period in 2023.</w:t>
      </w:r>
    </w:p>
    <w:p>
      <w:pPr>
        <w:spacing w:after="0" w:line="1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We generated a record $4.8 million in free cash flow in the third quarter, compared to generating $3.3 million in the same period 2023.</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 w:name="page16"/>
    <w:bookmarkEnd w:id="15"/>
    <w:p>
      <w:pPr>
        <w:spacing w:after="0" w:line="238" w:lineRule="auto"/>
        <w:rPr>
          <w:sz w:val="20"/>
          <w:szCs w:val="20"/>
          <w:color w:val="auto"/>
        </w:rPr>
      </w:pPr>
      <w:r>
        <w:rPr>
          <w:rFonts w:ascii="Times New Roman" w:cs="Times New Roman" w:eastAsia="Times New Roman" w:hAnsi="Times New Roman"/>
          <w:sz w:val="22"/>
          <w:szCs w:val="22"/>
          <w:color w:val="auto"/>
        </w:rPr>
        <w:t>We did not purchase any shares of Company stock in the third quarter under our stock repurchase program. Year to date, we have purchased a total of 292,744 shares at an average price of $19.81 per share. We have $4.6 million remaining under our stock repurchase program.</w:t>
      </w:r>
    </w:p>
    <w:p>
      <w:pPr>
        <w:jc w:val="both"/>
        <w:ind w:right="60"/>
        <w:spacing w:after="0" w:line="234" w:lineRule="auto"/>
        <w:rPr>
          <w:sz w:val="20"/>
          <w:szCs w:val="20"/>
          <w:color w:val="auto"/>
        </w:rPr>
      </w:pPr>
      <w:r>
        <w:rPr>
          <w:rFonts w:ascii="Times New Roman" w:cs="Times New Roman" w:eastAsia="Times New Roman" w:hAnsi="Times New Roman"/>
          <w:sz w:val="22"/>
          <w:szCs w:val="22"/>
          <w:color w:val="auto"/>
        </w:rPr>
        <w:t>In closing, we’ve had three consecutive quarters this year of record revenue, each with approximately 20%-30% revenue growth, strong profitability, and strong cash flow. We expect this momentum to continue in the fourth quarter and throughout 2025. We are extremely proud of the way the team is performing and feel red violet is well positioned to continue this growth trajectory for years to come.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that, our operator will now open the line for Q&amp;A?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Operator (Operator Instructions)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first question comes from the line of Josh Nichols of B. Riley. Josh, your line is open.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Josh Nichols</w:t>
      </w:r>
    </w:p>
    <w:p>
      <w:pPr>
        <w:spacing w:after="0" w:line="14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Yes. Thanks for taking my question. Great to see the record 3Q results. And also I was just digging into the numbers. So a nice increase in IDI customers where you actually added some more subs than what was added in 2Q. I know you've been investing in some additional sales and marketing.</w:t>
      </w:r>
    </w:p>
    <w:p>
      <w:pPr>
        <w:spacing w:after="0" w:line="10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Are you starting to see material results from those newer hires? And is that what's given you so much confidence to start talking about the momentum that you're seeing today continue through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143"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Thanks, Josh. It's Derek. Appreciate the question. Absolutely. As we've been pretty clear on each of the calls and relaying that, the strategic initiatives that we've been investing in over the last 18 months or so, given that we're generating such strong cash flow, enable us to build out the sales and marketing capabilities around certain areas that we're very early in penetrating these verticals.</w:t>
      </w:r>
    </w:p>
    <w:p>
      <w:pPr>
        <w:spacing w:after="0" w:line="113"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So, as we add these team members, very highly-qualified individuals in their respective subject matter areas, we're seeing the fruits of that investment. And we've been very pleased with the customer onboarding, gosh, for I would say for the last 18 months.</w:t>
      </w:r>
    </w:p>
    <w:p>
      <w:pPr>
        <w:spacing w:after="0" w:line="92"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So, we've been putting up just about at least, at or about, record highs in customer onboarding on a monthly basis, which is a really strong indicator for us, giving us visibility into future sales, of course.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 we feel very confident about the teams we're putting together.</w:t>
      </w:r>
    </w:p>
    <w:p>
      <w:pPr>
        <w:spacing w:after="0" w:line="139"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We continue to evaluate productivity and increase that productivity by adding to these teams. And we've just been, it's been a continuation of the strength we've been seeing all year, sort of paying dividends from the investments we've made.</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So, because of that, we're very excited about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Josh Nichols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That's great. And then I think you touched on this briefly in some of the commentary earlier on the call.</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But I'm kind of curious, how should we think about the split between what's driving growth in terms of the new customer adds, but also the land and expand strategy and increasing volumes that you kind of touched on briefly with existing customers overall?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 MacLachlan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Yes, Josh. Thanks. And this is Dan. Thanks for the question.</w:t>
      </w:r>
    </w:p>
    <w:p>
      <w:pPr>
        <w:spacing w:after="0" w:line="125"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So yes, we've done a good job as an organization even at what I would consider kind of small and medium enterprise-sized customers, to not only onboard them with initial volume, but also increase that volume over time.</w:t>
      </w:r>
    </w:p>
    <w:p>
      <w:pPr>
        <w:spacing w:after="0" w:line="91"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So as we look at revenue growth this quarter, it's a good combination of both new customer revenue and existing customer growth.</w:t>
      </w:r>
    </w:p>
    <w:p>
      <w:pPr>
        <w:spacing w:after="0" w:line="91"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What really excites us about the opportunity ahead is that, as you know we've been working on moving up tier to larger enterprise, larger government customers. And that really is where there's just tremendous opportunity to really land and expand within that customer base because not only are you going in there for one use case and potentially increasing volume there, but you have the opportunity to expand out the organization with additional use cases.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 when we look at this quarter, great growth both in new customer onboarding and existing customers.</w:t>
      </w:r>
    </w:p>
    <w:p>
      <w:pPr>
        <w:spacing w:after="0" w:line="139"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But also as we move forward moving up enterprise into larger enterprise, we have even more of an opportunity to grow that existing base and expand. So we're really excited as we continue to move forward on this journey.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Josh Nichols</w:t>
      </w:r>
    </w:p>
    <w:p>
      <w:pPr>
        <w:spacing w:after="0" w:line="12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I appreciate the detail there. And last question for me, then I'll let someone else take a stab at it. Looking at FOREWARN, it's been really impressive growth that's been pretty persistent throughout this year.</w:t>
      </w:r>
    </w:p>
    <w:p>
      <w:pPr>
        <w:spacing w:after="0" w:line="91" w:lineRule="exact"/>
        <w:rPr>
          <w:sz w:val="20"/>
          <w:szCs w:val="20"/>
          <w:color w:val="auto"/>
        </w:rPr>
      </w:pPr>
    </w:p>
    <w:p>
      <w:pPr>
        <w:ind w:right="580"/>
        <w:spacing w:after="0" w:line="244" w:lineRule="auto"/>
        <w:rPr>
          <w:sz w:val="20"/>
          <w:szCs w:val="20"/>
          <w:color w:val="auto"/>
        </w:rPr>
      </w:pPr>
      <w:r>
        <w:rPr>
          <w:rFonts w:ascii="Times New Roman" w:cs="Times New Roman" w:eastAsia="Times New Roman" w:hAnsi="Times New Roman"/>
          <w:sz w:val="22"/>
          <w:szCs w:val="22"/>
          <w:color w:val="auto"/>
        </w:rPr>
        <w:t>I'm just curious now where you think you are in terms of penetration and how much is left in terms of other MLS or Realty agencies that you could continue to penetrate that will drive sustainable growth based on where you are today and the opportunities that remain in the market.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 MacLachlan</w:t>
      </w:r>
    </w:p>
    <w:p>
      <w:pPr>
        <w:spacing w:after="0" w:line="12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Sure. Thanks. This is Dan again, and I'll take that question. So yes, today we announced just over 500 associations today. Within the US, there's approximately around 1,100 associations. So still have a lot of go-get within FOREWARN and the real estate industry.</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7" w:name="page18"/>
    <w:bookmarkEnd w:id="17"/>
    <w:p>
      <w:pPr>
        <w:ind w:right="120"/>
        <w:spacing w:after="0" w:line="258" w:lineRule="auto"/>
        <w:rPr>
          <w:sz w:val="20"/>
          <w:szCs w:val="20"/>
          <w:color w:val="auto"/>
        </w:rPr>
      </w:pPr>
      <w:r>
        <w:rPr>
          <w:rFonts w:ascii="Times New Roman" w:cs="Times New Roman" w:eastAsia="Times New Roman" w:hAnsi="Times New Roman"/>
          <w:sz w:val="22"/>
          <w:szCs w:val="22"/>
          <w:color w:val="auto"/>
        </w:rPr>
        <w:t>But what we're also looking at now is taking that brand, taking that concept of really that protective safety due diligence tool for user-to-user engagement and expanding it out into additional industries for a number of use cases.</w:t>
      </w:r>
    </w:p>
    <w:p>
      <w:pPr>
        <w:spacing w:after="0" w:line="9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So, plenty of go-get within the real estate industry, as I said, what 500 associations today, about 1,100 associations in total. But really now spending time, resources and investing and looking to take that brand into new industries.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Yes. This is Derek also, Josh.</w:t>
      </w:r>
    </w:p>
    <w:p>
      <w:pPr>
        <w:spacing w:after="0" w:line="139"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Obviously, the exciting part about FOREWARN is that it's the leading proactive safety tool. And we love the fact that many, many realtor professionals, real estate professionals, provide their feedback to us and express their gratitude in protecting them prior to facing a difficult situation, a dangerous situation.</w:t>
      </w:r>
    </w:p>
    <w:p>
      <w:pPr>
        <w:spacing w:after="0" w:line="92" w:lineRule="exact"/>
        <w:rPr>
          <w:sz w:val="20"/>
          <w:szCs w:val="20"/>
          <w:color w:val="auto"/>
        </w:rPr>
      </w:pPr>
    </w:p>
    <w:p>
      <w:pPr>
        <w:ind w:right="760"/>
        <w:spacing w:after="0" w:line="258" w:lineRule="auto"/>
        <w:rPr>
          <w:sz w:val="20"/>
          <w:szCs w:val="20"/>
          <w:color w:val="auto"/>
        </w:rPr>
      </w:pPr>
      <w:r>
        <w:rPr>
          <w:rFonts w:ascii="Times New Roman" w:cs="Times New Roman" w:eastAsia="Times New Roman" w:hAnsi="Times New Roman"/>
          <w:sz w:val="22"/>
          <w:szCs w:val="22"/>
          <w:color w:val="auto"/>
        </w:rPr>
        <w:t>So, we're very excited about introducing it to other small business ventures and we think it has applicability across many industries.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Josh Nichols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Appreciate it. Thanks, guys. I'll hop back in the queue.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Josh.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 MacLachlan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Josh.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Operator</w:t>
      </w:r>
    </w:p>
    <w:p>
      <w:pPr>
        <w:spacing w:after="0" w:line="14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Thank you very much. At this time, I'm showing no further questions. I would now like to turn it back to Derek Dubner for closing remarks.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1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Thank you. We are pleased to deliver another record quarter and a continuation of the strong performance year to date. Given the progress against our strategic initiatives, we are very optimistic about the remainder of the year and 2025. Good afternoon.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for your participation in today's conference. This does conclude the program. You may now disconnect.</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2024-11-08T07:11:27Z</dcterms:created>
  <dcterms:modified xsi:type="dcterms:W3CDTF">2024-11-08T07:11:27Z</dcterms:modified>
</cp:coreProperties>
</file>