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3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August 7, 2024</w:t>
      </w:r>
    </w:p>
    <w:p>
      <w:pPr>
        <w:spacing w:after="0" w:line="2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RED VIOLET,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201" w:lineRule="exact"/>
        <w:rPr>
          <w:sz w:val="24"/>
          <w:szCs w:val="24"/>
          <w:color w:val="auto"/>
        </w:rPr>
      </w:pPr>
    </w:p>
    <w:tbl>
      <w:tblPr>
        <w:tblLayout w:type="fixed"/>
        <w:tblInd w:w="1240" w:type="dxa"/>
        <w:tblCellMar>
          <w:top w:w="0" w:type="dxa"/>
          <w:left w:w="0" w:type="dxa"/>
          <w:bottom w:w="0" w:type="dxa"/>
          <w:right w:w="0" w:type="dxa"/>
        </w:tblCellMar>
      </w:tblP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001-38407</w:t>
            </w:r>
          </w:p>
        </w:tc>
        <w:tc>
          <w:tcPr>
            <w:tcW w:w="24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82-2408531</w:t>
            </w:r>
          </w:p>
        </w:tc>
      </w:tr>
      <w:tr>
        <w:trPr>
          <w:trHeight w:val="148"/>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0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0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2650 North Military Trail, Suite 300, Boca Raton, FL 33431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561-757-4000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6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 (s)</w:t>
            </w:r>
          </w:p>
        </w:tc>
        <w:tc>
          <w:tcPr>
            <w:tcW w:w="374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65"/>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r>
        <w:trPr>
          <w:trHeight w:val="19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RDVT</w:t>
            </w:r>
          </w:p>
        </w:tc>
        <w:tc>
          <w:tcPr>
            <w:tcW w:w="37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70"/>
        </w:trPr>
        <w:tc>
          <w:tcPr>
            <w:tcW w:w="3760" w:type="dxa"/>
            <w:vAlign w:val="bottom"/>
            <w:tcBorders>
              <w:left w:val="single" w:sz="8" w:color="auto"/>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r>
    </w:tbl>
    <w:p>
      <w:pPr>
        <w:spacing w:after="0" w:line="40" w:lineRule="exact"/>
        <w:rPr>
          <w:sz w:val="24"/>
          <w:szCs w:val="24"/>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1046480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August 7, 2024, Red Violet, Inc., a Delaware corporation (the “Company”), issued a press release announcing its financial results for the second quarter ended June 30, 2024 (the “Earnings Release”). A copy of the Earnings Release is furnished herewith as Exhibit 99.1.</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Also on August 7, 2024, following the issuance of the Earnings Release, the Company conducted a conference call to discuss the reported financial results for the second quarter ended June 30, 2024. The Company had issued a press release on July 30, 2024 to announce the scheduling of the conference call. A copy of the transcript of the conference call is furnished herewith as Exhibit 99.2.</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1659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99.2 </w:t>
      </w:r>
      <w:r>
        <w:rPr>
          <w:rFonts w:ascii="Times New Roman" w:cs="Times New Roman" w:eastAsia="Times New Roman" w:hAnsi="Times New Roman"/>
          <w:sz w:val="18"/>
          <w:szCs w:val="18"/>
          <w:u w:val="single" w:color="auto"/>
          <w:color w:val="0000FF"/>
        </w:rPr>
        <w:t>August 7, 2024 conference call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18846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46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83" w:lineRule="exact"/>
        <w:rPr>
          <w:sz w:val="20"/>
          <w:szCs w:val="20"/>
          <w:color w:val="auto"/>
        </w:rPr>
      </w:pPr>
    </w:p>
    <w:p>
      <w:pPr>
        <w:ind w:left="20"/>
        <w:spacing w:after="0"/>
        <w:tabs>
          <w:tab w:leader="none" w:pos="5220" w:val="left"/>
          <w:tab w:leader="none" w:pos="572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3488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Derek Dubner</w:t>
      </w:r>
    </w:p>
    <w:p>
      <w:pPr>
        <w:spacing w:after="0" w:line="3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1196340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red violet Announces Second Quarter 2024 Financial Results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Revenue Increases 30% to a Record $19.1 Million, Generating GAAP EPS of $0.19</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BOCA RATON, Fla. – August 7, 2024 </w:t>
      </w:r>
      <w:r>
        <w:rPr>
          <w:rFonts w:ascii="Times New Roman" w:cs="Times New Roman" w:eastAsia="Times New Roman" w:hAnsi="Times New Roman"/>
          <w:sz w:val="18"/>
          <w:szCs w:val="18"/>
          <w:color w:val="auto"/>
        </w:rPr>
        <w:t>– Red Violet, Inc. (NASDAQ: RDVT), a leading analytics and information solutions provider,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quarter ended June 30, 2024.</w:t>
      </w:r>
    </w:p>
    <w:p>
      <w:pPr>
        <w:spacing w:after="0" w:line="9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pleased to deliver a very strong quarter, achieving new highs across all key metrics driven by broad-based demand for our solutions,” stated Derek Dubner, red violet’s CEO. “Our second quarter results reflect the ongoing success of the strategic initiatives implemented over the past eighteen months. This marks the strongest first half results in our history, and we remain confident in our ability to sustain this momentum and continue driving accelerated growth in the quarters ahead.”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2024, as compared to the three months ended June 30, 2023:</w:t>
      </w:r>
    </w:p>
    <w:p>
      <w:pPr>
        <w:spacing w:after="0" w:line="158"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30% to $19.1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41% to $13.3 million. Gross margin increased to 70% from 64%.</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36% to $15.6 million. Adjusted gross margin increased to 82% from 78%.</w:t>
      </w:r>
    </w:p>
    <w:p>
      <w:pPr>
        <w:spacing w:after="0" w:line="117"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90% to $2.6 million, which resulted in earnings of $0.19 per basic and diluted share. Net income margin increased to 14% from 9%.</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47% to $6.8 million. Adjusted EBITDA margin increased to 36% from 32%.</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33% to $3.9 million, which resulted in adjusted earnings of $0.28 per basic and diluted share.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increased 61% to $5.7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$30.9 million as of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and Recent Business Highlights</w:t>
      </w:r>
    </w:p>
    <w:p>
      <w:pPr>
        <w:spacing w:after="0" w:line="168"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236 customers to IDI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during the second quarter, ending the quarter with 8,477 customers.</w:t>
      </w:r>
    </w:p>
    <w:p>
      <w:pPr>
        <w:spacing w:after="0" w:line="75" w:lineRule="exact"/>
        <w:rPr>
          <w:rFonts w:ascii="Times New Roman" w:cs="Times New Roman" w:eastAsia="Times New Roman" w:hAnsi="Times New Roman"/>
          <w:sz w:val="18"/>
          <w:szCs w:val="18"/>
          <w:color w:val="auto"/>
        </w:rPr>
      </w:pPr>
    </w:p>
    <w:p>
      <w:pPr>
        <w:ind w:left="380" w:right="760" w:hanging="372"/>
        <w:spacing w:after="0" w:line="233"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27,237 users to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during the second quarter, ending the quarter with 263,876 users. Over 490 REALTOR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Associations throughout the U.S. are now contracted to use FOREWARN.</w:t>
      </w:r>
    </w:p>
    <w:p>
      <w:pPr>
        <w:spacing w:after="0" w:line="91" w:lineRule="exact"/>
        <w:rPr>
          <w:rFonts w:ascii="Times New Roman" w:cs="Times New Roman" w:eastAsia="Times New Roman" w:hAnsi="Times New Roman"/>
          <w:sz w:val="18"/>
          <w:szCs w:val="18"/>
          <w:color w:val="auto"/>
        </w:rPr>
      </w:pPr>
    </w:p>
    <w:p>
      <w:pPr>
        <w:ind w:left="380" w:right="200" w:hanging="372"/>
        <w:spacing w:after="0" w:line="26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15,804 shares of the Company’s common stock during the second quarter at an average price of $18.61 per share pursuant to the Company’s $15.0 million Stock Repurchase Program, as amended, that was initially authorized on May 2, 2022. Total shares purchased during the first half of 2024 was 292,744 shares at an average price of $19.81 per share. The Company has $4.6 million remaining under the Stock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conjunction with this release, red violet will host a conference call and webcast today at 4:30pm ET to discuss its quarterly results and provide a business update. Please click here to pre-register for the conference call and obtain your dial in number and passcode. To access the live audio webcast, visit the Investors section of the red violet website at www.redviolet.com. Please login at least 15 minutes prior to the start of the call to ensure adequate time for any downloads that may be required. Following the completion of the conference call, an archived webcast of the conference call will be available on the Investors section of the red violet website at www.redviolet.com.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red violet</w:t>
      </w:r>
      <w:r>
        <w:rPr>
          <w:rFonts w:ascii="Times New Roman" w:cs="Times New Roman" w:eastAsia="Times New Roman" w:hAnsi="Times New Roman"/>
          <w:sz w:val="24"/>
          <w:szCs w:val="24"/>
          <w:b w:val="1"/>
          <w:bCs w:val="1"/>
          <w:color w:val="auto"/>
          <w:vertAlign w:val="superscript"/>
        </w:rPr>
        <w:t>®</w:t>
      </w:r>
    </w:p>
    <w:p>
      <w:pPr>
        <w:spacing w:after="0" w:line="9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www.redviolet.com.</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Camilo Ramirez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Violet,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561-757-4500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ir@redviolet.com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ir@redviolet.com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net, income tax expense, depreciation and amortization, share-based compensation expense, litigation costs, and write-off of long-lived assets and others. We define adjusted EBITDA margin as adjusted EBITDA as a percentage of revenue. Adjusted net income is a non-GAAP financial measure equal to net income, the most directly comparable financial measure based on US GAAP, excluding share-based compensation expense, and amortization of share-based compensation capitalized in intangible assets,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we will be able to sustain our 2024 momentum and continue driving accelerated growth in the quarters ahead.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2023, filed on March 7, 2024, as may be supplemented or amended by the Company's other SEC filings. We undertake no obligation to publicly update or revise any forward-looking statement, whether as a result of new information, future events or otherwise, except as required by law.</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980" w:type="dxa"/>
            <w:vAlign w:val="bottom"/>
            <w:tcBorders>
              <w:bottom w:val="single" w:sz="8" w:color="CFF0FC"/>
            </w:tcBorders>
            <w:gridSpan w:val="2"/>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$196 and $159 as of</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June 30, 2024 and December 31, 2023,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93,452</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74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200" w:type="dxa"/>
            <w:vAlign w:val="bottom"/>
            <w:tcBorders>
              <w:top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June 30, 2024 and December 31, 2023</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740" w:type="dxa"/>
            <w:vAlign w:val="bottom"/>
            <w:gridSpan w:val="4"/>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stock—$0.001 par value, 200,000,000 shares authorized, 13,744,189 and</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7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13,980,274 shares issued, and 13,731,385 and 13,970,846 shares outstanding, as of</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77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June 30, 2024 and December 31, 2023</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7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Treasury stock, at cost, 12,804 and 9,428 shares as of June 30, 2024 and</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36"/>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91,672</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(3,452 )</w:t>
            </w: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(7,873 )</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87,998</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93,452</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4"/>
            <w:vMerge w:val="restart"/>
          </w:tcPr>
          <w:p>
            <w:pPr>
              <w:jc w:val="right"/>
              <w:ind w:right="20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-5065395</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-5065395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-3882390</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-3865245</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-2982595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-2682240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-950595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23"/>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b w:val="1"/>
                <w:bCs w:val="1"/>
                <w:color w:val="auto"/>
              </w:rPr>
              <w:t>Costs and expenses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tcPr>
          <w:p>
            <w:pPr>
              <w:spacing w:after="0"/>
              <w:rPr>
                <w:sz w:val="19"/>
                <w:szCs w:val="19"/>
                <w:color w:val="auto"/>
              </w:rPr>
            </w:pPr>
          </w:p>
        </w:tc>
      </w:tr>
      <w:tr>
        <w:trPr>
          <w:trHeight w:val="229"/>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9"/>
                <w:szCs w:val="19"/>
                <w:color w:val="auto"/>
              </w:rPr>
            </w:pPr>
          </w:p>
        </w:tc>
      </w:tr>
      <w:tr>
        <w:trPr>
          <w:trHeight w:val="223"/>
        </w:trPr>
        <w:tc>
          <w:tcPr>
            <w:tcW w:w="5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31,516</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19"/>
                <w:szCs w:val="19"/>
                <w:color w:val="auto"/>
              </w:rPr>
            </w:pPr>
          </w:p>
        </w:tc>
      </w:tr>
      <w:tr>
        <w:trPr>
          <w:trHeight w:val="229"/>
        </w:trPr>
        <w:tc>
          <w:tcPr>
            <w:tcW w:w="5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19"/>
                <w:szCs w:val="19"/>
                <w:color w:val="auto"/>
              </w:rPr>
            </w:pPr>
          </w:p>
        </w:tc>
      </w:tr>
      <w:tr>
        <w:trPr>
          <w:trHeight w:val="230"/>
        </w:trPr>
        <w:tc>
          <w:tcPr>
            <w:tcW w:w="5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FF0FC"/>
          </w:tcPr>
          <w:p>
            <w:pPr>
              <w:spacing w:after="0"/>
              <w:rPr>
                <w:sz w:val="21"/>
                <w:szCs w:val="21"/>
                <w:color w:val="auto"/>
              </w:rPr>
            </w:pPr>
          </w:p>
        </w:tc>
      </w:tr>
      <w:tr>
        <w:trPr>
          <w:trHeight w:val="210"/>
        </w:trPr>
        <w:tc>
          <w:tcPr>
            <w:tcW w:w="56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69"/>
        </w:trPr>
        <w:tc>
          <w:tcPr>
            <w:tcW w:w="5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13,780,074</w:t>
            </w: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13,961,862</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13,888,569</w:t>
            </w:r>
          </w:p>
        </w:tc>
        <w:tc>
          <w:tcPr>
            <w:tcW w:w="2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13,979,411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14,051,466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14,172,024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14,129,262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14,180,614</w:t>
            </w:r>
          </w:p>
        </w:tc>
        <w:tc>
          <w:tcPr>
            <w:tcW w:w="10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18"/>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 Share-based compensation expense in each category:</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FF0FC"/>
          </w:tcPr>
          <w:p>
            <w:pPr>
              <w:spacing w:after="0"/>
              <w:rPr>
                <w:sz w:val="14"/>
                <w:szCs w:val="14"/>
                <w:color w:val="auto"/>
              </w:rPr>
            </w:pPr>
          </w:p>
        </w:tc>
      </w:tr>
      <w:tr>
        <w:trPr>
          <w:trHeight w:val="162"/>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100" w:type="dxa"/>
            <w:vAlign w:val="bottom"/>
          </w:tcPr>
          <w:p>
            <w:pPr>
              <w:spacing w:after="0"/>
              <w:rPr>
                <w:sz w:val="14"/>
                <w:szCs w:val="14"/>
                <w:color w:val="auto"/>
              </w:rPr>
            </w:pPr>
          </w:p>
        </w:tc>
      </w:tr>
      <w:tr>
        <w:trPr>
          <w:trHeight w:val="195"/>
        </w:trPr>
        <w:tc>
          <w:tcPr>
            <w:tcW w:w="5620" w:type="dxa"/>
            <w:vAlign w:val="bottom"/>
            <w:tcBorders>
              <w:bottom w:val="single" w:sz="8" w:color="CFF0FC"/>
            </w:tcBorders>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1,393</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1,305</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2,795</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2,689</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-2416810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-2416810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-2416810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-2116455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-2116455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-2116455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-1816735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-1816735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-1816735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-1173480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-1156970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-1173480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-1156970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-1173480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-1156970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-856615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-839470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-856615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-839470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-856615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-839470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774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(1,052 )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(1,810 )</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(554 )</w:t>
            </w: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(616 )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(164 )</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(535 )</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(1,351 )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(1,451 )</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(274 )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(337 )</w:t>
            </w:r>
          </w:p>
        </w:tc>
      </w:tr>
      <w:tr>
        <w:trPr>
          <w:trHeight w:val="223"/>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28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tcBorders>
              <w:top w:val="single" w:sz="8" w:color="CFF0FC"/>
            </w:tcBorders>
          </w:tcPr>
          <w:p>
            <w:pPr>
              <w:spacing w:after="0"/>
              <w:rPr>
                <w:sz w:val="19"/>
                <w:szCs w:val="19"/>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(4,738 )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(4,509 )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(4,855 )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(4,560 )</w:t>
            </w: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(5,853 )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(910 )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(6,256 )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(960 )</w:t>
            </w:r>
          </w:p>
        </w:tc>
      </w:tr>
      <w:tr>
        <w:trPr>
          <w:trHeight w:val="20"/>
        </w:trPr>
        <w:tc>
          <w:tcPr>
            <w:tcW w:w="7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(1,089 )</w:t>
            </w: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(442 )</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00" w:type="dxa"/>
            <w:vAlign w:val="bottom"/>
            <w:tcBorders>
              <w:bottom w:val="single" w:sz="8" w:color="auto"/>
            </w:tcBorders>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30,943</w:t>
            </w:r>
          </w:p>
        </w:tc>
        <w:tc>
          <w:tcPr>
            <w:tcW w:w="2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INFORMATION:</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FF0FC"/>
          </w:tcPr>
          <w:p>
            <w:pPr>
              <w:spacing w:after="0"/>
              <w:rPr>
                <w:sz w:val="19"/>
                <w:szCs w:val="19"/>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28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-2565400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-1965325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-1965325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-1365250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-756920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-739775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-756920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FCF. Adjusted EBITDA is a financial measure equal to net income, the most directly comparable financial measure based on GAAP, excluding interest income, net, income tax expense, depreciation and amortization, share-based compensation expense, litigation costs, and write-off of long-lived assets and others. We define adjusted EBITDA margin as adjusted EBITDA as a percentage of revenue. Adjusted net income is a non-GAAP financial measure equal to net income, the most directly comparable financial measure based on US GAAP, excluding share-based compensation expense, and amortization of share-based compensation capitalized in intangible assets,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29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7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980" w:type="dxa"/>
            <w:vAlign w:val="bottom"/>
            <w:vMerge w:val="continue"/>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(314 )</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(315 )</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(679 )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costs</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(27 )</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 of long-lived assets and others</w:t>
            </w: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34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32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9 %</w:t>
            </w:r>
          </w:p>
        </w:tc>
        <w:tc>
          <w:tcPr>
            <w:tcW w:w="30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c>
          <w:tcPr>
            <w:tcW w:w="30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36 %</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32 %</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34 %</w:t>
            </w:r>
          </w:p>
        </w:tc>
        <w:tc>
          <w:tcPr>
            <w:tcW w:w="3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net income: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340" w:type="dxa"/>
            <w:vAlign w:val="bottom"/>
          </w:tcPr>
          <w:p>
            <w:pPr>
              <w:spacing w:after="0"/>
              <w:rPr>
                <w:sz w:val="24"/>
                <w:szCs w:val="24"/>
                <w:color w:val="auto"/>
              </w:rPr>
            </w:pPr>
          </w:p>
        </w:tc>
        <w:tc>
          <w:tcPr>
            <w:tcW w:w="29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24"/>
                <w:szCs w:val="24"/>
                <w:color w:val="auto"/>
              </w:rPr>
            </w:pPr>
          </w:p>
        </w:tc>
        <w:tc>
          <w:tcPr>
            <w:tcW w:w="27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980" w:type="dxa"/>
            <w:vAlign w:val="bottom"/>
            <w:vMerge w:val="continue"/>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9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share-based compensation</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Tax effect of adjustments</w:t>
            </w:r>
            <w:r>
              <w:rPr>
                <w:rFonts w:ascii="Times New Roman" w:cs="Times New Roman" w:eastAsia="Times New Roman" w:hAnsi="Times New Roman"/>
                <w:sz w:val="24"/>
                <w:szCs w:val="24"/>
                <w:color w:val="auto"/>
                <w:vertAlign w:val="superscript"/>
              </w:rPr>
              <w:t>(1)</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(425 )</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13,780,074</w:t>
            </w:r>
          </w:p>
        </w:tc>
        <w:tc>
          <w:tcPr>
            <w:tcW w:w="2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13,961,862</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13,888,569</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13,979,411</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14,051,466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14,172,024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14,129,262</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14,180,614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-3813810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-3813810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-3813810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-3342640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-1490980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-1473835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-1490980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-1473835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-1490980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-1473835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-1173480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-1156970</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-1173480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-1156970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-1173480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-1156970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-513715</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-496570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-513715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-496570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-513715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-496570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-196215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-179070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-196215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-179070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-196215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-179070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26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adjustments is calculated using the expected federal and state statutory tax rate. The expected federal and state income tax rate was approximately 25.75% for the three and six months ended June 30, 2024. There was no tax effect of such adjustments for the three and six months ended June 30, 2023, as a full valuation allowance was provided for the net deferred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980" w:type="dxa"/>
            <w:vAlign w:val="bottom"/>
            <w:vMerge w:val="continue"/>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19,056</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14,680</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36,567</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29,306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8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(3,455 )</w:t>
            </w:r>
          </w:p>
        </w:tc>
        <w:tc>
          <w:tcPr>
            <w:tcW w:w="8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(3,240 )</w:t>
            </w:r>
          </w:p>
        </w:tc>
        <w:tc>
          <w:tcPr>
            <w:tcW w:w="8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(7,211 )</w:t>
            </w:r>
          </w:p>
        </w:tc>
        <w:tc>
          <w:tcPr>
            <w:tcW w:w="8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(6,419 )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8"/>
              </w:rPr>
              <w:t>(2,322 )</w:t>
            </w:r>
          </w:p>
        </w:tc>
        <w:tc>
          <w:tcPr>
            <w:tcW w:w="8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8"/>
              </w:rPr>
              <w:t>(1,995 )</w:t>
            </w:r>
          </w:p>
        </w:tc>
        <w:tc>
          <w:tcPr>
            <w:tcW w:w="8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8"/>
              </w:rPr>
              <w:t>(4,536 )</w:t>
            </w: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8"/>
              </w:rPr>
              <w:t>(3,853 )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13,279</w:t>
            </w:r>
          </w:p>
        </w:tc>
        <w:tc>
          <w:tcPr>
            <w:tcW w:w="260" w:type="dxa"/>
            <w:vAlign w:val="bottom"/>
            <w:tcBorders>
              <w:top w:val="single" w:sz="8" w:color="CFF0FC"/>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240" w:type="dxa"/>
            <w:vAlign w:val="bottom"/>
            <w:tcBorders>
              <w:top w:val="single" w:sz="8" w:color="CFF0FC"/>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24,820</w:t>
            </w:r>
          </w:p>
        </w:tc>
        <w:tc>
          <w:tcPr>
            <w:tcW w:w="240" w:type="dxa"/>
            <w:vAlign w:val="bottom"/>
            <w:tcBorders>
              <w:top w:val="single" w:sz="8" w:color="CFF0FC"/>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19,034</w:t>
            </w: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8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15,601</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11,440</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29,356</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22,887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8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70 %</w:t>
            </w:r>
          </w:p>
        </w:tc>
        <w:tc>
          <w:tcPr>
            <w:tcW w:w="8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64 %</w:t>
            </w:r>
          </w:p>
        </w:tc>
        <w:tc>
          <w:tcPr>
            <w:tcW w:w="8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68 %</w:t>
            </w:r>
          </w:p>
        </w:tc>
        <w:tc>
          <w:tcPr>
            <w:tcW w:w="8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8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82 %</w:t>
            </w:r>
          </w:p>
        </w:tc>
        <w:tc>
          <w:tcPr>
            <w:tcW w:w="8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78 %</w:t>
            </w:r>
          </w:p>
        </w:tc>
        <w:tc>
          <w:tcPr>
            <w:tcW w:w="8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80 %</w:t>
            </w:r>
          </w:p>
        </w:tc>
        <w:tc>
          <w:tcPr>
            <w:tcW w:w="8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-967740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-967740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-967740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-668020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-668020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the most directly comparable US GAAP financial measure, to FCF: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29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7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980" w:type="dxa"/>
            <w:vAlign w:val="bottom"/>
            <w:vMerge w:val="continue"/>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(52 )</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(2,411 )</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(2,236 )</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(4,738 )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(4,509 )</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-24765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8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excluding share-based compensation expense, and amortization of share-based compensation capitalized in intangible assets, and including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9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79" w:right="279" w:bottom="1440" w:gutter="0" w:footer="0" w:header="0"/>
        </w:sectPr>
      </w:pPr>
    </w:p>
    <w:bookmarkStart w:id="10" w:name="page11"/>
    <w:bookmarkEnd w:id="10"/>
    <w:p>
      <w:pPr>
        <w:ind w:right="300"/>
        <w:spacing w:after="0" w:line="282" w:lineRule="auto"/>
        <w:rPr>
          <w:sz w:val="20"/>
          <w:szCs w:val="20"/>
          <w:color w:val="auto"/>
        </w:rPr>
      </w:pPr>
      <w:r>
        <w:rPr>
          <w:rFonts w:ascii="Times New Roman" w:cs="Times New Roman" w:eastAsia="Times New Roman" w:hAnsi="Times New Roman"/>
          <w:sz w:val="18"/>
          <w:szCs w:val="18"/>
          <w:color w:val="auto"/>
        </w:rPr>
        <w:t>margin, and FCF may not be comparable to similarly titled measures presented by other companies, and may not be identical to corresponding measures used in our various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METRICS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540" w:type="dxa"/>
            <w:vAlign w:val="bottom"/>
            <w:vMerge w:val="continue"/>
          </w:tcPr>
          <w:p>
            <w:pPr>
              <w:spacing w:after="0"/>
              <w:rPr>
                <w:sz w:val="13"/>
                <w:szCs w:val="13"/>
                <w:color w:val="auto"/>
              </w:rPr>
            </w:pPr>
          </w:p>
        </w:tc>
        <w:tc>
          <w:tcPr>
            <w:tcW w:w="100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Q3'22</w:t>
            </w:r>
          </w:p>
        </w:tc>
        <w:tc>
          <w:tcPr>
            <w:tcW w:w="102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Q4'22</w:t>
            </w:r>
          </w:p>
        </w:tc>
        <w:tc>
          <w:tcPr>
            <w:tcW w:w="100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Q1'23</w:t>
            </w:r>
          </w:p>
        </w:tc>
        <w:tc>
          <w:tcPr>
            <w:tcW w:w="114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Q2'23</w:t>
            </w:r>
          </w:p>
        </w:tc>
        <w:tc>
          <w:tcPr>
            <w:tcW w:w="78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Q3'23</w:t>
            </w:r>
          </w:p>
        </w:tc>
        <w:tc>
          <w:tcPr>
            <w:tcW w:w="96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Q4'23</w:t>
            </w:r>
          </w:p>
        </w:tc>
        <w:tc>
          <w:tcPr>
            <w:tcW w:w="96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Q1'24</w:t>
            </w:r>
          </w:p>
        </w:tc>
        <w:tc>
          <w:tcPr>
            <w:tcW w:w="740" w:type="dxa"/>
            <w:vAlign w:val="bottom"/>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Q2'24</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EF0FC"/>
          </w:tcPr>
          <w:p>
            <w:pPr>
              <w:ind w:left="20"/>
              <w:spacing w:after="0"/>
              <w:rPr>
                <w:sz w:val="20"/>
                <w:szCs w:val="20"/>
                <w:color w:val="auto"/>
              </w:rPr>
            </w:pPr>
            <w:r>
              <w:rPr>
                <w:rFonts w:ascii="Times New Roman" w:cs="Times New Roman" w:eastAsia="Times New Roman" w:hAnsi="Times New Roman"/>
                <w:sz w:val="16"/>
                <w:szCs w:val="16"/>
                <w:b w:val="1"/>
                <w:bCs w:val="1"/>
                <w:color w:val="auto"/>
              </w:rPr>
              <w:t>Customer metrics</w:t>
            </w:r>
          </w:p>
        </w:tc>
        <w:tc>
          <w:tcPr>
            <w:tcW w:w="740" w:type="dxa"/>
            <w:vAlign w:val="bottom"/>
            <w:tcBorders>
              <w:top w:val="single" w:sz="8" w:color="auto"/>
            </w:tcBorders>
            <w:shd w:val="clear" w:color="auto" w:fill="CEF0FC"/>
          </w:tcPr>
          <w:p>
            <w:pPr>
              <w:spacing w:after="0"/>
              <w:rPr>
                <w:sz w:val="18"/>
                <w:szCs w:val="18"/>
                <w:color w:val="auto"/>
              </w:rPr>
            </w:pPr>
          </w:p>
        </w:tc>
        <w:tc>
          <w:tcPr>
            <w:tcW w:w="260" w:type="dxa"/>
            <w:vAlign w:val="bottom"/>
            <w:shd w:val="clear" w:color="auto" w:fill="CEF0FC"/>
          </w:tcPr>
          <w:p>
            <w:pPr>
              <w:spacing w:after="0"/>
              <w:rPr>
                <w:sz w:val="18"/>
                <w:szCs w:val="18"/>
                <w:color w:val="auto"/>
              </w:rPr>
            </w:pPr>
          </w:p>
        </w:tc>
        <w:tc>
          <w:tcPr>
            <w:tcW w:w="760" w:type="dxa"/>
            <w:vAlign w:val="bottom"/>
            <w:tcBorders>
              <w:top w:val="single" w:sz="8" w:color="auto"/>
            </w:tcBorders>
            <w:shd w:val="clear" w:color="auto" w:fill="CEF0FC"/>
          </w:tcPr>
          <w:p>
            <w:pPr>
              <w:spacing w:after="0"/>
              <w:rPr>
                <w:sz w:val="18"/>
                <w:szCs w:val="18"/>
                <w:color w:val="auto"/>
              </w:rPr>
            </w:pPr>
          </w:p>
        </w:tc>
        <w:tc>
          <w:tcPr>
            <w:tcW w:w="260" w:type="dxa"/>
            <w:vAlign w:val="bottom"/>
            <w:shd w:val="clear" w:color="auto" w:fill="CEF0FC"/>
          </w:tcPr>
          <w:p>
            <w:pPr>
              <w:spacing w:after="0"/>
              <w:rPr>
                <w:sz w:val="18"/>
                <w:szCs w:val="18"/>
                <w:color w:val="auto"/>
              </w:rPr>
            </w:pPr>
          </w:p>
        </w:tc>
        <w:tc>
          <w:tcPr>
            <w:tcW w:w="760" w:type="dxa"/>
            <w:vAlign w:val="bottom"/>
            <w:tcBorders>
              <w:top w:val="single" w:sz="8" w:color="auto"/>
            </w:tcBorders>
            <w:shd w:val="clear" w:color="auto" w:fill="CEF0FC"/>
          </w:tcPr>
          <w:p>
            <w:pPr>
              <w:spacing w:after="0"/>
              <w:rPr>
                <w:sz w:val="18"/>
                <w:szCs w:val="18"/>
                <w:color w:val="auto"/>
              </w:rPr>
            </w:pPr>
          </w:p>
        </w:tc>
        <w:tc>
          <w:tcPr>
            <w:tcW w:w="240" w:type="dxa"/>
            <w:vAlign w:val="bottom"/>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180" w:type="dxa"/>
            <w:vAlign w:val="bottom"/>
            <w:tcBorders>
              <w:top w:val="single" w:sz="8" w:color="auto"/>
            </w:tcBorders>
            <w:shd w:val="clear" w:color="auto" w:fill="CEF0FC"/>
          </w:tcPr>
          <w:p>
            <w:pPr>
              <w:spacing w:after="0"/>
              <w:rPr>
                <w:sz w:val="18"/>
                <w:szCs w:val="18"/>
                <w:color w:val="auto"/>
              </w:rPr>
            </w:pPr>
          </w:p>
        </w:tc>
        <w:tc>
          <w:tcPr>
            <w:tcW w:w="560" w:type="dxa"/>
            <w:vAlign w:val="bottom"/>
            <w:tcBorders>
              <w:top w:val="single" w:sz="8" w:color="auto"/>
            </w:tcBorders>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100" w:type="dxa"/>
            <w:vAlign w:val="bottom"/>
            <w:shd w:val="clear" w:color="auto" w:fill="CE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IDI - billable customers</w:t>
            </w:r>
            <w:r>
              <w:rPr>
                <w:rFonts w:ascii="Times New Roman" w:cs="Times New Roman" w:eastAsia="Times New Roman" w:hAnsi="Times New Roman"/>
                <w:sz w:val="21"/>
                <w:szCs w:val="21"/>
                <w:color w:val="auto"/>
                <w:vertAlign w:val="superscript"/>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EF0FC"/>
          </w:tcPr>
          <w:p>
            <w:pPr>
              <w:ind w:left="260"/>
              <w:spacing w:after="0" w:line="216" w:lineRule="exact"/>
              <w:rPr>
                <w:sz w:val="20"/>
                <w:szCs w:val="20"/>
                <w:color w:val="auto"/>
              </w:rPr>
            </w:pPr>
            <w:r>
              <w:rPr>
                <w:rFonts w:ascii="Times New Roman" w:cs="Times New Roman" w:eastAsia="Times New Roman" w:hAnsi="Times New Roman"/>
                <w:sz w:val="16"/>
                <w:szCs w:val="16"/>
                <w:color w:val="auto"/>
              </w:rPr>
              <w:t>FOREWARN - users</w:t>
            </w:r>
            <w:r>
              <w:rPr>
                <w:rFonts w:ascii="Times New Roman" w:cs="Times New Roman" w:eastAsia="Times New Roman" w:hAnsi="Times New Roman"/>
                <w:sz w:val="21"/>
                <w:szCs w:val="21"/>
                <w:color w:val="auto"/>
                <w:vertAlign w:val="superscript"/>
              </w:rPr>
              <w:t>(2)</w:t>
            </w: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110,051</w:t>
            </w:r>
          </w:p>
        </w:tc>
        <w:tc>
          <w:tcPr>
            <w:tcW w:w="260" w:type="dxa"/>
            <w:vAlign w:val="bottom"/>
            <w:shd w:val="clear" w:color="auto" w:fill="CEF0FC"/>
          </w:tcPr>
          <w:p>
            <w:pPr>
              <w:spacing w:after="0"/>
              <w:rPr>
                <w:sz w:val="18"/>
                <w:szCs w:val="18"/>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116,960</w:t>
            </w:r>
          </w:p>
        </w:tc>
        <w:tc>
          <w:tcPr>
            <w:tcW w:w="260" w:type="dxa"/>
            <w:vAlign w:val="bottom"/>
            <w:shd w:val="clear" w:color="auto" w:fill="CEF0FC"/>
          </w:tcPr>
          <w:p>
            <w:pPr>
              <w:spacing w:after="0"/>
              <w:rPr>
                <w:sz w:val="18"/>
                <w:szCs w:val="18"/>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131,348</w:t>
            </w:r>
          </w:p>
        </w:tc>
        <w:tc>
          <w:tcPr>
            <w:tcW w:w="24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146,537</w:t>
            </w:r>
          </w:p>
        </w:tc>
        <w:tc>
          <w:tcPr>
            <w:tcW w:w="22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168,356</w:t>
            </w:r>
          </w:p>
        </w:tc>
        <w:tc>
          <w:tcPr>
            <w:tcW w:w="22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185,380</w:t>
            </w:r>
          </w:p>
        </w:tc>
        <w:tc>
          <w:tcPr>
            <w:tcW w:w="22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236,639</w:t>
            </w:r>
          </w:p>
        </w:tc>
        <w:tc>
          <w:tcPr>
            <w:tcW w:w="22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263,876</w:t>
            </w:r>
          </w:p>
        </w:tc>
        <w:tc>
          <w:tcPr>
            <w:tcW w:w="100" w:type="dxa"/>
            <w:vAlign w:val="bottom"/>
            <w:shd w:val="clear" w:color="auto" w:fill="CE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Revenue metrics</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Contractual revenue %</w:t>
            </w:r>
            <w:r>
              <w:rPr>
                <w:rFonts w:ascii="Times New Roman" w:cs="Times New Roman" w:eastAsia="Times New Roman" w:hAnsi="Times New Roman"/>
                <w:sz w:val="21"/>
                <w:szCs w:val="21"/>
                <w:color w:val="auto"/>
                <w:vertAlign w:val="superscript"/>
              </w:rPr>
              <w:t>(3)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68 %</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79 %</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82 %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57"/>
        </w:trPr>
        <w:tc>
          <w:tcPr>
            <w:tcW w:w="3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Gross revenue retention %</w:t>
            </w:r>
            <w:r>
              <w:rPr>
                <w:rFonts w:ascii="Times New Roman" w:cs="Times New Roman" w:eastAsia="Times New Roman" w:hAnsi="Times New Roman"/>
                <w:sz w:val="21"/>
                <w:szCs w:val="21"/>
                <w:color w:val="auto"/>
                <w:vertAlign w:val="superscript"/>
              </w:rPr>
              <w:t>(4)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94 %</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94 %</w:t>
            </w:r>
          </w:p>
        </w:tc>
        <w:tc>
          <w:tcPr>
            <w:tcW w:w="18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16"/>
        </w:trPr>
        <w:tc>
          <w:tcPr>
            <w:tcW w:w="3540" w:type="dxa"/>
            <w:vAlign w:val="bottom"/>
            <w:shd w:val="clear" w:color="auto" w:fill="CE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metrics</w:t>
            </w:r>
          </w:p>
        </w:tc>
        <w:tc>
          <w:tcPr>
            <w:tcW w:w="740" w:type="dxa"/>
            <w:vAlign w:val="bottom"/>
            <w:shd w:val="clear" w:color="auto" w:fill="CEF0FC"/>
          </w:tcPr>
          <w:p>
            <w:pPr>
              <w:spacing w:after="0"/>
              <w:rPr>
                <w:sz w:val="18"/>
                <w:szCs w:val="18"/>
                <w:color w:val="auto"/>
              </w:rPr>
            </w:pPr>
          </w:p>
        </w:tc>
        <w:tc>
          <w:tcPr>
            <w:tcW w:w="260" w:type="dxa"/>
            <w:vAlign w:val="bottom"/>
            <w:shd w:val="clear" w:color="auto" w:fill="CEF0FC"/>
          </w:tcPr>
          <w:p>
            <w:pPr>
              <w:spacing w:after="0"/>
              <w:rPr>
                <w:sz w:val="18"/>
                <w:szCs w:val="18"/>
                <w:color w:val="auto"/>
              </w:rPr>
            </w:pPr>
          </w:p>
        </w:tc>
        <w:tc>
          <w:tcPr>
            <w:tcW w:w="760" w:type="dxa"/>
            <w:vAlign w:val="bottom"/>
            <w:shd w:val="clear" w:color="auto" w:fill="CEF0FC"/>
          </w:tcPr>
          <w:p>
            <w:pPr>
              <w:spacing w:after="0"/>
              <w:rPr>
                <w:sz w:val="18"/>
                <w:szCs w:val="18"/>
                <w:color w:val="auto"/>
              </w:rPr>
            </w:pPr>
          </w:p>
        </w:tc>
        <w:tc>
          <w:tcPr>
            <w:tcW w:w="260" w:type="dxa"/>
            <w:vAlign w:val="bottom"/>
            <w:shd w:val="clear" w:color="auto" w:fill="CEF0FC"/>
          </w:tcPr>
          <w:p>
            <w:pPr>
              <w:spacing w:after="0"/>
              <w:rPr>
                <w:sz w:val="18"/>
                <w:szCs w:val="18"/>
                <w:color w:val="auto"/>
              </w:rPr>
            </w:pPr>
          </w:p>
        </w:tc>
        <w:tc>
          <w:tcPr>
            <w:tcW w:w="760" w:type="dxa"/>
            <w:vAlign w:val="bottom"/>
            <w:shd w:val="clear" w:color="auto" w:fill="CEF0FC"/>
          </w:tcPr>
          <w:p>
            <w:pPr>
              <w:spacing w:after="0"/>
              <w:rPr>
                <w:sz w:val="18"/>
                <w:szCs w:val="18"/>
                <w:color w:val="auto"/>
              </w:rPr>
            </w:pPr>
          </w:p>
        </w:tc>
        <w:tc>
          <w:tcPr>
            <w:tcW w:w="240" w:type="dxa"/>
            <w:vAlign w:val="bottom"/>
            <w:shd w:val="clear" w:color="auto" w:fill="CEF0FC"/>
          </w:tcPr>
          <w:p>
            <w:pPr>
              <w:spacing w:after="0"/>
              <w:rPr>
                <w:sz w:val="18"/>
                <w:szCs w:val="18"/>
                <w:color w:val="auto"/>
              </w:rPr>
            </w:pPr>
          </w:p>
        </w:tc>
        <w:tc>
          <w:tcPr>
            <w:tcW w:w="740" w:type="dxa"/>
            <w:vAlign w:val="bottom"/>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560" w:type="dxa"/>
            <w:vAlign w:val="bottom"/>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740" w:type="dxa"/>
            <w:vAlign w:val="bottom"/>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740" w:type="dxa"/>
            <w:vAlign w:val="bottom"/>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740" w:type="dxa"/>
            <w:vAlign w:val="bottom"/>
            <w:shd w:val="clear" w:color="auto" w:fill="CEF0FC"/>
          </w:tcPr>
          <w:p>
            <w:pPr>
              <w:spacing w:after="0"/>
              <w:rPr>
                <w:sz w:val="18"/>
                <w:szCs w:val="18"/>
                <w:color w:val="auto"/>
              </w:rPr>
            </w:pPr>
          </w:p>
        </w:tc>
        <w:tc>
          <w:tcPr>
            <w:tcW w:w="100" w:type="dxa"/>
            <w:vAlign w:val="bottom"/>
            <w:shd w:val="clear" w:color="auto" w:fill="CE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Employees - sales and marketing</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6"/>
                <w:szCs w:val="16"/>
                <w:color w:val="auto"/>
              </w:rPr>
              <w:t>Employees - support</w:t>
            </w: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E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Employees - infrastructure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6"/>
                <w:szCs w:val="16"/>
                <w:color w:val="auto"/>
              </w:rPr>
              <w:t>Employees - engineering</w:t>
            </w: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E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Employees - administration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-1092835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3" w:lineRule="exact"/>
        <w:rPr>
          <w:sz w:val="20"/>
          <w:szCs w:val="20"/>
          <w:color w:val="auto"/>
        </w:rPr>
      </w:pPr>
    </w:p>
    <w:p>
      <w:pPr>
        <w:jc w:val="both"/>
        <w:ind w:left="380" w:right="300" w:hanging="372"/>
        <w:spacing w:after="0" w:line="266" w:lineRule="auto"/>
        <w:tabs>
          <w:tab w:leader="none" w:pos="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67" w:lineRule="exact"/>
        <w:rPr>
          <w:rFonts w:ascii="Times New Roman" w:cs="Times New Roman" w:eastAsia="Times New Roman" w:hAnsi="Times New Roman"/>
          <w:sz w:val="18"/>
          <w:szCs w:val="18"/>
          <w:color w:val="auto"/>
        </w:rPr>
      </w:pPr>
    </w:p>
    <w:p>
      <w:pPr>
        <w:ind w:left="380" w:right="160" w:hanging="372"/>
        <w:spacing w:after="0" w:line="282" w:lineRule="auto"/>
        <w:tabs>
          <w:tab w:leader="none" w:pos="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 user of FOREWARN as a unique person that has a subscription to use the FOREWARN service as of the last day of the period. A unique person can only have one user account.</w:t>
      </w:r>
    </w:p>
    <w:p>
      <w:pPr>
        <w:spacing w:after="0" w:line="53" w:lineRule="exact"/>
        <w:rPr>
          <w:rFonts w:ascii="Times New Roman" w:cs="Times New Roman" w:eastAsia="Times New Roman" w:hAnsi="Times New Roman"/>
          <w:sz w:val="18"/>
          <w:szCs w:val="18"/>
          <w:color w:val="auto"/>
        </w:rPr>
      </w:pPr>
    </w:p>
    <w:p>
      <w:pPr>
        <w:ind w:left="380" w:right="640" w:hanging="372"/>
        <w:spacing w:after="0" w:line="282" w:lineRule="auto"/>
        <w:tabs>
          <w:tab w:leader="none" w:pos="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53" w:lineRule="exact"/>
        <w:rPr>
          <w:rFonts w:ascii="Times New Roman" w:cs="Times New Roman" w:eastAsia="Times New Roman" w:hAnsi="Times New Roman"/>
          <w:sz w:val="18"/>
          <w:szCs w:val="18"/>
          <w:color w:val="auto"/>
        </w:rPr>
      </w:pPr>
    </w:p>
    <w:p>
      <w:pPr>
        <w:ind w:left="380" w:right="120" w:hanging="372"/>
        <w:spacing w:after="0" w:line="255" w:lineRule="auto"/>
        <w:tabs>
          <w:tab w:leader="none" w:pos="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revenue retention is defined as the revenue retained from existing customers, net of reinstated revenue, and excluding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Gross revenue retention percentage is calculated on a trailing twelve-month basis. The numerator of which is revenue lost during the period due to attrition, net of reinstated revenue, and the denominator of which is total revenue based on an average of total revenue at the beginning of each month during the period, with the quotient subtracted from one. Beginning Q4’22, our gross revenue retention calculation excludes revenue from idiVERIFIED, which is purely transactional and currently represents less than 3% of total revenue.</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69"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 Violet, Inc. (NASDAQ: RDVT)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Second Quarter 2024 Earnings Results Conference Call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Participants:</w:t>
      </w:r>
    </w:p>
    <w:p>
      <w:pPr>
        <w:spacing w:after="0" w:line="197" w:lineRule="exact"/>
        <w:rPr>
          <w:sz w:val="20"/>
          <w:szCs w:val="20"/>
          <w:color w:val="auto"/>
        </w:rPr>
      </w:pPr>
    </w:p>
    <w:p>
      <w:pPr>
        <w:ind w:right="4940"/>
        <w:spacing w:after="0" w:line="455" w:lineRule="auto"/>
        <w:rPr>
          <w:sz w:val="20"/>
          <w:szCs w:val="20"/>
          <w:color w:val="auto"/>
        </w:rPr>
      </w:pPr>
      <w:r>
        <w:rPr>
          <w:rFonts w:ascii="Times New Roman" w:cs="Times New Roman" w:eastAsia="Times New Roman" w:hAnsi="Times New Roman"/>
          <w:sz w:val="22"/>
          <w:szCs w:val="22"/>
          <w:color w:val="auto"/>
        </w:rPr>
        <w:t xml:space="preserve">Camilo Ramirez, Senior Vice President, Finance and Investor Relations Derek Dubner, Chairman and Chief Executive Officer Dan MacLachlan, Chief Financial Officer </w:t>
      </w:r>
      <w:r>
        <w:rPr>
          <w:rFonts w:ascii="Times New Roman" w:cs="Times New Roman" w:eastAsia="Times New Roman" w:hAnsi="Times New Roman"/>
          <w:sz w:val="22"/>
          <w:szCs w:val="22"/>
          <w:b w:val="1"/>
          <w:bCs w:val="1"/>
          <w:color w:val="auto"/>
        </w:rPr>
        <w:t>Operator:</w:t>
      </w:r>
    </w:p>
    <w:p>
      <w:pPr>
        <w:spacing w:after="0" w:line="343"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Good day ladies and gentlemen, and welcome to red violet’s second quarter 2024 earnings conference call. At this time, all participants are in a listen only mode. Later we will conduct a question and answer session and instructions will follow at that time.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reminder this call is being recorded.</w:t>
      </w:r>
    </w:p>
    <w:p>
      <w:pPr>
        <w:spacing w:after="0" w:line="12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I would now like to introduce your host for today’s conference Camilo Ramirez, Senior Vice President, Finance and Investor Relations. Please go ahead.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Camilo Ramirez:</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Good afternoon and welcome. Thank you for joining us today to discuss our second quarter 2024 financial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me today is Derek Dubner, our Chairman and Chief Executive Officer, and Dan MacLachlan, our Chief Financial Officer.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call today will begin with comments from Derek and Dan, followed by a question and answer session.</w:t>
      </w:r>
    </w:p>
    <w:p>
      <w:pPr>
        <w:spacing w:after="0" w:line="1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9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w:t>
      </w:r>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4"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Securities and Exchange Commission, including the most recent Annual Report on Form 10-K and the subsequent 10-Qs.</w:t>
      </w:r>
    </w:p>
    <w:p>
      <w:pPr>
        <w:spacing w:after="0" w:line="139"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During the call, we may present certain non-GAAP financial information relating to adjusted gross profit, adjusted gross margin, adjusted EBITDA, adjusted EBITDA margin, adjusted net income, adjusted earnings per share, and free cash flow. Reconciliations of these non-GAAP financial measures to their most directly comparable US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that, I am pleased to introduce red violet’s Chairman and Chief Executive Officer, Derek Dubner.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197"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Thanks Camilo. Good afternoon and thanks to those joining us today to discuss our second quarter 2024 results. Coming off a great first quarter, we are pleased to deliver an even stronger second quarter. The broad-based demand for our solutions that we experienced in the first quarter carried across second quarter, delivering, once again, our highest quarterly revenue and adjusted EBITDA in our company history. We delivered accelerated revenue growth, both year over year and sequentially, while maintaining strong profitability and cash flow, which enables us to continue to invest in our key strategic initiatives. We remain committed to maintaining this accelerated rate of growth and are confident in our ability to carry this momentum throughout the remainder of 2024 and beyond.</w:t>
      </w:r>
    </w:p>
    <w:p>
      <w:pPr>
        <w:spacing w:after="0" w:line="1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Our revenue for the quarter was up 30% to a record $19.1 million, producing a record adjusted gross profit of $15.6 million and record margin of 82%. Adjusted EBITDA was up 47% to a record $6.8 million, producing a record margin of 36%. Also records, adjusted net income increased 33% to $3.9 million, resulting in adjusted earnings of 28 cents per share.</w:t>
      </w:r>
    </w:p>
    <w:p>
      <w:pPr>
        <w:spacing w:after="0" w:line="92"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Our revenue growth was healthy across verticals. Law enforcement, which is part of our Investigative vertical, continues to be a standout as local, state, and federal agencies grow to appreciate the competitive differentiation in our data accuracy, derived relationships and connections, and unparalleled search capability and functionality. Financial and Corporate Risk produced another strong quarter and our Collections vertical once again experienced double-digit percentage growth. We continue to execute upon a deep sales pipeline, and we are seeing solid progress within several of our early-stage industries, including Government, Background Screening support, and Marketing Services. Volumes throughout the quarter remained consistently strong as the economic environment is particularly favorable for our durable and balanced business model. A large cohort of the consumer population is doing very well as they have portfolios of equities, real estate, and investments delivering solid income, which is driving new account openings and purchases and increasing reliance on our solutions in the way of identity verification and KYC. A segment of consumers unfortunately continues to be negatively impacted by the effects of inflation and the runoff of government subsidies such that certain</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industries we serve, such as Collections, Legal, and Repossession, are driving increasing demand for our solutions.</w:t>
      </w:r>
    </w:p>
    <w:p>
      <w:pPr>
        <w:spacing w:after="0" w:line="13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We are very excited to deliver such a strong quarter and the strongest first half results in our history. Our strategic initiatives over the past eighteen months are driving the acceleration in our business and we are early in this multi-year plan. Our volumes are not only increasing, but they are increasing consistently across the board and driving healthy dollars to the bottom line. We are investing in the business to continue to widen the moat around our cloud-native technology platform, to develop differentiated solutions, and to enhance our marketing efforts which are increasing brand awareness, all of which continue to power our further penetration of existing and new verticals. We are very excited about the remainder of 2024 and beyond.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that, I turn it over to Dan to discuss the financials.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 MacLachlan</w:t>
      </w:r>
    </w:p>
    <w:p>
      <w:pPr>
        <w:spacing w:after="0" w:line="197"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Thank you, Derek, and good afternoon. The second quarter was a great quarter for red violet. We continue to experience increasing transaction volume throughout the customer base. Customer growth on the IDI side and user growth on the FOREWARN side remain strong. Revenue increased 30% to a record $19.1 million, producing a record $6.8 million in adjusted EBITDA, resulting in record adjusted EBITDA margin of 36% in the second quarter. As discussed for a few quarters now, we continue to see increasing opportunity within several new markets we have focused on, including public sector, background screening support, and marketing services. As a result of that increasing opportunity, we have leaned in with our go-to-market investments, adding ten new members to our sales and marketing team in the second quarter. We continue to experience strong pipeline growth and conversion in these key areas.</w:t>
      </w:r>
    </w:p>
    <w:p>
      <w:pPr>
        <w:spacing w:after="0" w:line="11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Turning now to our second quarter results, for clarity, all the comparisons I will discuss today will be against the second quarter of 2023, unless noted otherwise.</w:t>
      </w:r>
    </w:p>
    <w:p>
      <w:pPr>
        <w:spacing w:after="0" w:line="77"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Total revenue was a record $19.1 million, a 30% increase over prior year. We produced a record $15.6 million in adjusted gross profit, resulting in a record adjusted gross margin of 82% in the second quarter, up 4-percentage points. Adjusted EBITDA for the quarter was a record $6.8 million, up 47% over prior year. Adjusted EBITDA margin was a record 36%, up 4-percentage points. Adjusted net income increased 33% to a record $3.9 million for the quarter, resulting in record adjusted earnings of 28 cents per diluted share.</w:t>
      </w:r>
    </w:p>
    <w:p>
      <w:pPr>
        <w:spacing w:after="0" w:line="10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1"/>
          <w:szCs w:val="21"/>
          <w:color w:val="auto"/>
        </w:rPr>
        <w:t>Moving through the details of our P&amp;L, as mentioned, revenue was $19.1 million for the second quarter. Included in the $19.1 million of total revenue was $1.0 million in one-time transactional revenue as a result of a large opportunity win from an existing customer. Excluding this one-time transactional revenue, revenue would have still increased a healthy 23% in the second quarter.</w:t>
      </w:r>
    </w:p>
    <w:p>
      <w:pPr>
        <w:spacing w:after="0" w:line="90"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Within IDI, we saw strong growth across verticals. IDI’s billable customer base grew by 236 customers sequentially from the first quarter, ending the quarter at 8,477 customers. Our Investigative vertical led all verticals on a percentage basis with strong double-digit revenue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 w:name="page15"/>
    <w:bookmarkEnd w:id="14"/>
    <w:p>
      <w:pPr>
        <w:spacing w:after="0" w:line="234" w:lineRule="auto"/>
        <w:rPr>
          <w:sz w:val="20"/>
          <w:szCs w:val="20"/>
          <w:color w:val="auto"/>
        </w:rPr>
      </w:pPr>
      <w:r>
        <w:rPr>
          <w:rFonts w:ascii="Times New Roman" w:cs="Times New Roman" w:eastAsia="Times New Roman" w:hAnsi="Times New Roman"/>
          <w:sz w:val="22"/>
          <w:szCs w:val="22"/>
          <w:color w:val="auto"/>
        </w:rPr>
        <w:t>growth. Led by Law Enforcement, this was the tenth consecutive quarter of sequential revenue growth for our Investigative vertical. We also saw strong double-digit revenue growth within our Financial and Corporate Risk vertical. Our Emerging Markets vertical saw strong double-digit growth across industries, including Retail, Repossession, Legal, and Government. After breaking into double-digit revenue growth for the first time in three years last quarter, our Collections vertical again broke into double-digit revenue growth in the second quarter. While remaining cautiously optimistic about the Collections vertical’s continued growth for the remainder of 2024, we are seeing increasing levels of transaction volume throughout our Collections customer base, something we have not seen since the end of 2019, which was pre-COVID. IDI’s Real Estate vertical, which does not include FOREWARN, was down approximately 10% for the quarter. This decrease is attributable to market dynamics of limited housing inventory, high mortgage rates, and elevated home prices.</w:t>
      </w:r>
    </w:p>
    <w:p>
      <w:pPr>
        <w:spacing w:after="0" w:line="116"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As it relates to FOREWARN, we added 27,237 users during the second quarter. FOREWARN’s revenue growth remains stellar, with the second quarter of 2024 representing the seventeenth consecutive quarter of sequential revenue growth. Over 490 Realtor® Associations are now contracted to use FOREWARN.</w:t>
      </w:r>
    </w:p>
    <w:p>
      <w:pPr>
        <w:spacing w:after="0" w:line="9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Our contractual revenue was 74% for the quarter, down 5-percentage points from prior year. This decrease was the result of the $1.0 million in one-time transactional revenue I discussed earlier. Our gross revenue retention percentage remained unchanged at 94%.</w:t>
      </w:r>
    </w:p>
    <w:p>
      <w:pPr>
        <w:spacing w:after="0" w:line="1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Moving back to the P&amp;L, our cost of revenue (exclusive of depreciation and amortization) increased $0.3 million or 7% to $3.5 million. Adjusted gross profit increased 36% to $15.6 million, producing an adjusted gross margin of 82%, a 4-percentage point increase from prior year.</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Sales and marketing expenses increased $1.3 million or 43% to $4.4 million for the quarter. The increase was due primarily to an increase in salaries and benefits from the additional headcount added to our sales and marketing team.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and administrative expenses increased $0.7 million or 13% to $5.8 million for the quarter.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Depreciation and amortization increased $0.3 million or 16% to $2.4 million for the quarter.</w:t>
      </w:r>
    </w:p>
    <w:p>
      <w:pPr>
        <w:spacing w:after="0" w:line="13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Our net income for the quarter increased $1.2 million or 90% to $2.6 million, which produced earnings of 19 cents per diluted share.</w:t>
      </w:r>
    </w:p>
    <w:p>
      <w:pPr>
        <w:spacing w:after="0" w:line="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Adjusted net income for the quarter increased $1.0 million or 33% to $3.9 million, which produced adjusted earnings of 28 cents per diluted share.</w:t>
      </w:r>
    </w:p>
    <w:p>
      <w:pPr>
        <w:spacing w:after="0" w:line="91"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Moving on to the balance sheet. Cash and cash equivalents were $30.9 million at June 30, 2024, compared to $32.0 million at December 31, 2023. Current assets were $40.4 million compared to $40.3 million and current liabilities were $3.7 million compared to $4.9 million.</w:t>
      </w:r>
    </w:p>
    <w:p>
      <w:pPr>
        <w:spacing w:after="0" w:line="10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We generated $5.7 million in cash from operating activities in the second quarter, compared to generating $3.5 million for the same period in 2023.</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1"/>
          <w:szCs w:val="21"/>
          <w:color w:val="auto"/>
        </w:rPr>
        <w:t>We generated $3.3 million in free cash flow in the second quarter, compared to generating $1.3 million in the same period 2023.</w:t>
      </w:r>
    </w:p>
    <w:p>
      <w:pPr>
        <w:spacing w:after="0" w:line="150" w:lineRule="exact"/>
        <w:rPr>
          <w:sz w:val="20"/>
          <w:szCs w:val="20"/>
          <w:color w:val="auto"/>
        </w:rPr>
      </w:pPr>
    </w:p>
    <w:p>
      <w:pPr>
        <w:jc w:val="both"/>
        <w:ind w:right="340"/>
        <w:spacing w:after="0" w:line="244" w:lineRule="auto"/>
        <w:rPr>
          <w:sz w:val="20"/>
          <w:szCs w:val="20"/>
          <w:color w:val="auto"/>
        </w:rPr>
      </w:pPr>
      <w:r>
        <w:rPr>
          <w:rFonts w:ascii="Times New Roman" w:cs="Times New Roman" w:eastAsia="Times New Roman" w:hAnsi="Times New Roman"/>
          <w:sz w:val="22"/>
          <w:szCs w:val="22"/>
          <w:color w:val="auto"/>
        </w:rPr>
        <w:t>During the quarter, we purchased 15,804 shares of Company stock under our stock repurchase program at an average price of $18.61 per share. Year to date through June 30, we have purchased a total of 292,744 shares at an average price of $19.81 per share. We have $4.6 million remaining under our stock repurchase program.</w:t>
      </w:r>
    </w:p>
    <w:p>
      <w:pPr>
        <w:spacing w:after="0" w:line="92"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In closing, the first half of 2024 has been great. The team is executing. As Derek mentioned earlier, we have had two consecutive quarters of accelerated revenue growth, both year over year and sequentially, while maintaining strong profitability and cash flow. We are excited to continue this trajectory in the back half of 2024 and beyond.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that, our operator will now open the line for Q&amp;A?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Operator (Operator Instructions)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first question comes from the line of Josh Nichols with B. Riley. Your line is open.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Josh Nichols</w:t>
      </w:r>
    </w:p>
    <w:p>
      <w:pPr>
        <w:spacing w:after="0" w:line="19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Thanks for taking my question. Pretty phenomenal to see the accelerated growth with record earnings behind it given that Q2 also tends to be a little bit slower, I think, seasonally.</w:t>
      </w:r>
    </w:p>
    <w:p>
      <w:pPr>
        <w:spacing w:after="0" w:line="77"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22"/>
          <w:szCs w:val="22"/>
          <w:color w:val="auto"/>
        </w:rPr>
        <w:t>I know the company has been targeting some larger customers moving up market. Clearly, you've been having a lot of success with the company's platform. I was just wondering if you could elaborate on what you've been doing targeting some of these larger $100,000+ accounts and traction that you've been making with governments and other public agencies as you move up market a little bit.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Sure. Thanks, Josh. It's Derek Dubner. Great to talk to you again.</w:t>
      </w:r>
    </w:p>
    <w:p>
      <w:pPr>
        <w:spacing w:after="0" w:line="12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As you probably know and as we've been talking about for the last several quarters, due to our great cash generation, we're able to continue to invest in this business along the way, along the lines of our strategic initiatives or our long-term strategic plan if you will. And in that plan, during these last 18 months, as you mentioned, it is the execution into larger enterprise, which includes not only private sector but public sector.</w:t>
      </w:r>
    </w:p>
    <w:p>
      <w:pPr>
        <w:spacing w:after="0" w:line="11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1"/>
          <w:szCs w:val="21"/>
          <w:color w:val="auto"/>
        </w:rPr>
        <w:t>We have invested in key personnel along the way and sort of are refining our go-to-market strategies in several areas that are very exciting to us in the way of marketing services, background screening support and as I mentioned, government or public sector.</w:t>
      </w:r>
    </w:p>
    <w:p>
      <w:pPr>
        <w:spacing w:after="0" w:line="6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We made a key hire in the public sector with Jonathan McDonald, who has a long history of building relationships in the government sector. He has government clearance, and he has worked at some of the leading companies including TransUnion in building the public sector business out there, so we were very excited to welcome Jonathan McDonald.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 w:name="page17"/>
    <w:bookmarkEnd w:id="16"/>
    <w:p>
      <w:pPr>
        <w:ind w:right="320"/>
        <w:spacing w:after="0" w:line="258" w:lineRule="auto"/>
        <w:rPr>
          <w:sz w:val="20"/>
          <w:szCs w:val="20"/>
          <w:color w:val="auto"/>
        </w:rPr>
      </w:pPr>
      <w:r>
        <w:rPr>
          <w:rFonts w:ascii="Times New Roman" w:cs="Times New Roman" w:eastAsia="Times New Roman" w:hAnsi="Times New Roman"/>
          <w:sz w:val="22"/>
          <w:szCs w:val="22"/>
          <w:color w:val="auto"/>
        </w:rPr>
        <w:t>We had already started creating our footprint in the public sector. And so Jonathan was an extraordinary add for us to lead the team and build out the team around him that he'd like to have in executing this plan.</w:t>
      </w:r>
    </w:p>
    <w:p>
      <w:pPr>
        <w:spacing w:after="0" w:line="9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We have made multiple hires around Jonathan and his team and have made significant progress in a very short period of time in advancing against the public sector.</w:t>
      </w:r>
    </w:p>
    <w:p>
      <w:pPr>
        <w:spacing w:after="0" w:line="77"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We had already been investing in penetrating law enforcement and as you probably know from the last few quarters, have made significant inroads in law enforcement, attracting them to a very differentiated platform and suite of solutions including not only our online interface, which is differentiated but an app that they find to be phenomenal out on the road.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will continue to invest in those areas and expand our go-to-market if you will.</w:t>
      </w:r>
    </w:p>
    <w:p>
      <w:pPr>
        <w:spacing w:after="0" w:line="13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We added 10 bodies, as Dan mentioned, in those areas, and we continue to invest in the platform's capabilities and continue to invest in the product roadmap, which is very deep, and we're very excited about further penetration into these markets.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Josh Nichols</w:t>
      </w:r>
    </w:p>
    <w:p>
      <w:pPr>
        <w:spacing w:after="0" w:line="14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Thank you so much for providing some color on that. Just given the phenomenal start to the first half, any comments you have about what you're seeing so far, expectations for the back half of '24?</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What I would say there is nothing has changed. We see the momentum continuing. We're very excited about our positioning right now.</w:t>
      </w:r>
    </w:p>
    <w:p>
      <w:pPr>
        <w:spacing w:after="0" w:line="91"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We are executing upon that pipeline as we keep mentioning, and that pipeline is accelerating for us. And we believe that we will continue to carry the momentum throughout the year and into '25, especially where, some of those newer areas we keep talking about, we have only slightly, slightly to minuscule penetration there.</w:t>
      </w:r>
    </w:p>
    <w:p>
      <w:pPr>
        <w:spacing w:after="0" w:line="1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So, we're extraordinarily excited about what we've accomplished year-to-date, which is records for us, and yet there's still little contribution in the big picture from those areas.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Josh Nichols</w:t>
      </w:r>
    </w:p>
    <w:p>
      <w:pPr>
        <w:spacing w:after="0" w:line="14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And then just because you mentioned it previously looking at the investigative unit, specifically law enforcement. It seems that's leading the charge, right, from the IDI side in terms of growth. Any context you could talk about? Is this more new customers? Are you expanding the base with the existing customers? And how big is that overall market opportunity relative to the size of that business today for continued growth potential?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Daniel MacLachlan</w:t>
      </w:r>
    </w:p>
    <w:p>
      <w:pPr>
        <w:spacing w:after="0" w:line="1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Yes. Thanks, Josh. And this is Dan. Thanks again for the question. Yes, look, I mean when we look back about 18 months or so ago, we verticalize that area and put specific sales resources within law enforcement.</w:t>
      </w: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7" w:name="page18"/>
    <w:bookmarkEnd w:id="17"/>
    <w:p>
      <w:pPr>
        <w:spacing w:after="0" w:line="244" w:lineRule="auto"/>
        <w:rPr>
          <w:sz w:val="20"/>
          <w:szCs w:val="20"/>
          <w:color w:val="auto"/>
        </w:rPr>
      </w:pPr>
      <w:r>
        <w:rPr>
          <w:rFonts w:ascii="Times New Roman" w:cs="Times New Roman" w:eastAsia="Times New Roman" w:hAnsi="Times New Roman"/>
          <w:sz w:val="22"/>
          <w:szCs w:val="22"/>
          <w:color w:val="auto"/>
        </w:rPr>
        <w:t>We have felt the product was where it needed to be. We had a lot of differentiation in the way we presented the data and information as well as specific tools that can be utilized within law enforcement agencies. And over the 18 months, we have built our brand.</w:t>
      </w:r>
    </w:p>
    <w:p>
      <w:pPr>
        <w:spacing w:after="0" w:line="1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We've added more resources within the sales department, and we've added much more marketing resources to really go out and efficiently attack that market. And we've seen, as we've discussed now for a few quarters, great growth really from new customer adoption across the board.</w:t>
      </w:r>
    </w:p>
    <w:p>
      <w:pPr>
        <w:spacing w:after="0" w:line="92" w:lineRule="exact"/>
        <w:rPr>
          <w:sz w:val="20"/>
          <w:szCs w:val="20"/>
          <w:color w:val="auto"/>
        </w:rPr>
      </w:pPr>
    </w:p>
    <w:p>
      <w:pPr>
        <w:jc w:val="both"/>
        <w:ind w:right="420"/>
        <w:spacing w:after="0" w:line="244" w:lineRule="auto"/>
        <w:rPr>
          <w:sz w:val="20"/>
          <w:szCs w:val="20"/>
          <w:color w:val="auto"/>
        </w:rPr>
      </w:pPr>
      <w:r>
        <w:rPr>
          <w:rFonts w:ascii="Times New Roman" w:cs="Times New Roman" w:eastAsia="Times New Roman" w:hAnsi="Times New Roman"/>
          <w:sz w:val="22"/>
          <w:szCs w:val="22"/>
          <w:color w:val="auto"/>
        </w:rPr>
        <w:t>We're only slightly penetrated into that overall market. There's just probably about 15,000 to 18,000 agencies throughout the country when you look at local, state, federal when you look at a law enforcement perspective, and we've only scratched the surface.</w:t>
      </w:r>
    </w:p>
    <w:p>
      <w:pPr>
        <w:spacing w:after="0" w:line="10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But we're making tremendous progress. And those are the type of customers that we love there. They're highly recurring. They're sticky. Once you get in and whether you unseat the competition or are able to get in there and augment the competition, that's an account that stays with you for a very long time, especially with our differentiation, our data accuracy and the enhanced capabilities we continue to deliver to law enforcement and other industries with search functionality.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Josh Nichols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 that’s great. I will jump back in the queue and let someone take a turn. Appreciate 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 MacLachlan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Operator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 showing no further questions at this time. I would now like to turn it back to Derek Dubner for closing remarks.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14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Thank you. We are pleased to deliver another record quarter and the best first half of the year in our history. Our healthy cash generation continues to enable us to invest in our strategic initiatives, which are translating into accelerated growth. We are well positioned for the remainder of the year and beyond. Good afternoon.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concludes this participation in today's conference. Thank you.g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2024-08-09T07:08:43Z</dcterms:created>
  <dcterms:modified xsi:type="dcterms:W3CDTF">2024-08-09T07:08:43Z</dcterms:modified>
</cp:coreProperties>
</file>