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Strakosch Greg</w:t>
              </w:r>
            </w:hyperlink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 w:line="107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 xml:space="preserve">Red Violet, Inc. </w:t>
              </w:r>
            </w:hyperlink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RDVT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4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320" w:type="dxa"/>
            <w:vAlign w:val="bottom"/>
            <w:gridSpan w:val="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54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ind w:left="6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0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06/04/2026</w:t>
            </w:r>
          </w:p>
        </w:tc>
        <w:tc>
          <w:tcPr>
            <w:tcW w:w="2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RED VIOLET, INC.</w:t>
            </w: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2650 N. MILITARY TRAIL, SUITE 300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5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BOCA RATON  FL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33431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3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50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40" w:space="720"/>
            <w:col w:w="282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140" w:type="dxa"/>
            <w:vAlign w:val="bottom"/>
            <w:gridSpan w:val="8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Price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06/04/2026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2,088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7"/>
                <w:vertAlign w:val="superscript"/>
              </w:rPr>
              <w:t>(1)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280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7,955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(1)(2)(3)(4)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 w:right="160" w:firstLine="7"/>
        <w:spacing w:after="0" w:line="272" w:lineRule="auto"/>
        <w:tabs>
          <w:tab w:leader="none" w:pos="173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On June 4, 2026, the reporting person received a grant of 2,088 restricted stock units ("RSUs"), convertible into common stock of the issuer on a one-for-one basis, which vests on the earlier of one year from the date of grant or the 2027 annual meeting of stockholders, subject to accelerated vesting under certain conditions.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220" w:firstLine="7"/>
        <w:spacing w:after="0" w:line="272" w:lineRule="auto"/>
        <w:tabs>
          <w:tab w:leader="none" w:pos="173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Includes 1,253 RSUs originally granted on March 4, 2025, convertible into common stock of the issuer on a one-for-one basis, which vests in approximately two equal installments on each of March 1, 2027, and March 1, 2028, subject to accelerated vesting under certain circumstances.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440" w:firstLine="7"/>
        <w:spacing w:after="0" w:line="272" w:lineRule="auto"/>
        <w:tabs>
          <w:tab w:leader="none" w:pos="173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Includes 2,130 RSUs originally granted on December 19, 2025, convertible into common stock of the issuer on a one-for-one basis, which vest in approximately three equal installments on each of December 1, 2026, December 1, 2027, and December 1, 2028, subject to accelerated vesting under certain conditions.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300" w:firstLine="7"/>
        <w:spacing w:after="0" w:line="272" w:lineRule="auto"/>
        <w:tabs>
          <w:tab w:leader="none" w:pos="173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Includes 1,857 RSUs originally granted on March 2, 2026, convertible into common stock of the issuer on a one-for-one basis, which vests 507 shares on December 1, 2026 and 675 shares on each of December 1, 2027 and December 1, 2028, subject to accelerated vesting under certain conditions.</w:t>
      </w:r>
    </w:p>
    <w:p>
      <w:pPr>
        <w:spacing w:after="0" w:line="25" w:lineRule="exact"/>
        <w:rPr>
          <w:sz w:val="20"/>
          <w:szCs w:val="20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Greg Strakosch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06/05/2026</w:t>
            </w:r>
          </w:p>
        </w:tc>
      </w:tr>
      <w:tr>
        <w:trPr>
          <w:trHeight w:val="20"/>
        </w:trPr>
        <w:tc>
          <w:tcPr>
            <w:tcW w:w="12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399644" TargetMode="External"/><Relationship Id="rId14" Type="http://schemas.openxmlformats.org/officeDocument/2006/relationships/hyperlink" Target="http://www.sec.gov/cgi-bin/browse-edgar?action=getcompany&amp;CIK=000172011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2026-06-05T16:15:41Z</dcterms:created>
  <dcterms:modified xsi:type="dcterms:W3CDTF">2026-06-05T16:15:41Z</dcterms:modified>
</cp:coreProperties>
</file>